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4594"/>
        </w:tabs>
        <w:ind w:left="137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1611313" cy="452616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1313" cy="4526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</w:t>
        <w:tab/>
      </w:r>
      <w:r w:rsidDel="00000000" w:rsidR="00000000" w:rsidRPr="00000000">
        <w:rPr>
          <w:sz w:val="20"/>
          <w:szCs w:val="20"/>
          <w:vertAlign w:val="baseline"/>
        </w:rPr>
        <w:drawing>
          <wp:inline distB="0" distT="0" distL="0" distR="0">
            <wp:extent cx="1644591" cy="534988"/>
            <wp:effectExtent b="0" l="0" r="0" t="0"/>
            <wp:docPr id="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44591" cy="5349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5" w:lineRule="auto"/>
        <w:ind w:left="3336" w:firstLine="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5" w:lineRule="auto"/>
        <w:ind w:left="3336" w:firstLine="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5" w:lineRule="auto"/>
        <w:ind w:left="3336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ИЗИСКВАНИЯ КЪМ ОФЕРТИТЕ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36" w:right="49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изготвяне на офертата всеки кандидат трябва да се придържа точно към обявените от бенефициента условия.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Кандидатът в процедурата има право да представи само една оферта.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" w:line="259" w:lineRule="auto"/>
        <w:ind w:left="136" w:right="10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Офертата следва да е изготвена съобразно образеца от документацията и да съдържа техническо и финансово предложение и останалата информация и документи съгласно чл. 5, ал. 1 от ПМС 160/2016 г и публичната покана на бенефициента.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59" w:lineRule="auto"/>
        <w:ind w:left="136" w:right="24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Към офертата следва да са приложени всички изискуеми от бенефициента документи, посочени в поканата.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59" w:lineRule="auto"/>
        <w:ind w:left="136" w:right="24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36" w:right="23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Изискуемите документи към офертата следва да бъдат представени в оригинал/нотариално заверено копие или заверени от кандидата копия с думите: „Вярно с оригинала”, подпис и/или печат съобразно изискванията на бенефициента към конкретните документи.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36" w:right="57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Документите, представени на чужд език, следва да бъдат придружени с превод на български език.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36" w:right="32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Следва да се има предвид, че срокът на валидност на офертите е времето, през което кандидатите са обвързани с условията на представените от тях  оферти.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36" w:right="32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36" w:right="22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Лице, което е дало съгласие и фигурира като подизпълнител в офертата на друг кандидат, не може да представи самостоятелна оферта.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36" w:right="132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Офертата се подава в Информационната система за управление и наблюдение на средствата на ЕС в България 2020 (ИСУН 2020).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9" w:line="259" w:lineRule="auto"/>
        <w:ind w:left="136" w:right="112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Оферти, които са представени след изтичане на крайния срок не се приемат от бенефициента и не се разглеждат.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92" w:lineRule="auto"/>
        <w:ind w:left="988" w:right="236" w:hanging="641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25400</wp:posOffset>
                </wp:positionV>
                <wp:extent cx="5835015" cy="127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241293" y="3776825"/>
                          <a:ext cx="58350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25400</wp:posOffset>
                </wp:positionV>
                <wp:extent cx="5835015" cy="12700"/>
                <wp:effectExtent b="0" l="0" r="0" t="0"/>
                <wp:wrapNone/>
                <wp:docPr id="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3501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40" w:w="11910" w:orient="portrait"/>
      <w:pgMar w:bottom="280" w:top="760" w:left="1280" w:right="13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Times New Roman" w:cs="Times New Roman" w:eastAsia="Times New Roman" w:hAnsi="Times New Roman"/>
      <w:lang w:val="bg-BG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8"/>
      <w:szCs w:val="28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70A7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70A7"/>
    <w:rPr>
      <w:rFonts w:ascii="Tahoma" w:cs="Tahoma" w:eastAsia="Times New Roman" w:hAnsi="Tahoma"/>
      <w:sz w:val="16"/>
      <w:szCs w:val="16"/>
      <w:lang w:val="bg-BG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eLl3ZdI1bs0K1bsbtMqdoTvslQ==">AMUW2mVx30VWTnDWLarpK+8b1qr1Olc423VmkU8B1EtNAViZgwXYv3PrcLCshGtp27l4LPLCkGfTN7Mo25f7wx3vcnTv99HGw3OWF2OZjCZR7xwJHlT/yFNolN2h08pxSad8rtURVGeU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2022-04-01T14:37:00Z</dcterms:created>
  <dc:creator>Kremena Hubcheva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2022-04-01T00:00:00Z</vt:filetime>
  </property>
</Properties>
</file>