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spacing w:before="209" w:line="256" w:lineRule="auto"/>
        <w:ind w:left="4365" w:right="459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Образец на публична покана по чл. 51 от ЗУСЕСИФ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11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ПУБЛИЧНА ПОКАНА</w:t>
      </w:r>
    </w:p>
    <w:p w:rsidR="00000000" w:rsidDel="00000000" w:rsidP="00000000" w:rsidRDefault="00000000" w:rsidRPr="00000000" w14:paraId="00000006">
      <w:pPr>
        <w:spacing w:before="22" w:lineRule="auto"/>
        <w:ind w:left="11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РАЗДЕЛ 1: ДАННИ ЗА БЕНЕФИЦИЕНТА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0" w:before="19" w:line="240" w:lineRule="auto"/>
        <w:ind w:left="529" w:right="0" w:hanging="414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Наименование, адреси и лица за контакт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9.0" w:type="dxa"/>
        <w:jc w:val="left"/>
        <w:tblInd w:w="1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01"/>
        <w:gridCol w:w="3001"/>
        <w:gridCol w:w="2927"/>
        <w:tblGridChange w:id="0">
          <w:tblGrid>
            <w:gridCol w:w="3001"/>
            <w:gridCol w:w="3001"/>
            <w:gridCol w:w="2927"/>
          </w:tblGrid>
        </w:tblGridChange>
      </w:tblGrid>
      <w:tr>
        <w:trPr>
          <w:cantSplit w:val="0"/>
          <w:trHeight w:val="55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Официално наименование: </w:t>
              <w:br w:type="textWrapping"/>
              <w:t xml:space="preserve">ВАРНЕНСКИ СВОБОДЕН УНИВЕРСИТЕТ „ЧЕРНОРИЗЕЦ ХРАБЪР“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Адрес: к.к. Чайка, ул. Янко Славчев №84</w:t>
            </w:r>
          </w:p>
        </w:tc>
      </w:tr>
      <w:tr>
        <w:trPr>
          <w:cantSplit w:val="0"/>
          <w:trHeight w:val="549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3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Град: ВАРНА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" w:right="1727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Пощенски код: 9007</w:t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3" w:right="143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Държава: БЪЛГАРИЯ</w:t>
            </w:r>
          </w:p>
        </w:tc>
      </w:tr>
      <w:tr>
        <w:trPr>
          <w:cantSplit w:val="0"/>
          <w:trHeight w:val="1100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5" w:right="80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контакти: Лице/а за контакт: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Кремена Хубчева</w:t>
            </w:r>
          </w:p>
        </w:tc>
        <w:tc>
          <w:tcPr>
            <w:tcBorders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Телефон: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052/359523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3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Електронна поща: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24"/>
                  <w:szCs w:val="24"/>
                  <w:u w:val="none"/>
                  <w:shd w:fill="auto" w:val="clear"/>
                  <w:vertAlign w:val="baseline"/>
                  <w:rtl w:val="0"/>
                </w:rPr>
                <w:t xml:space="preserve">vfu-projects@vfu.bg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3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Факс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tcBorders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Интернет адрес/и: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24"/>
                  <w:szCs w:val="24"/>
                  <w:u w:val="none"/>
                  <w:shd w:fill="auto" w:val="clear"/>
                  <w:vertAlign w:val="baseline"/>
                  <w:rtl w:val="0"/>
                </w:rPr>
                <w:t xml:space="preserve">www.vfu.bg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0" w:before="1" w:line="240" w:lineRule="auto"/>
        <w:ind w:left="529" w:right="0" w:hanging="414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Вид на бенефициента и основна дейност/и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362.0" w:type="dxa"/>
        <w:jc w:val="left"/>
        <w:tblInd w:w="1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01"/>
        <w:gridCol w:w="5361"/>
        <w:tblGridChange w:id="0">
          <w:tblGrid>
            <w:gridCol w:w="3001"/>
            <w:gridCol w:w="5361"/>
          </w:tblGrid>
        </w:tblGridChange>
      </w:tblGrid>
      <w:tr>
        <w:trPr>
          <w:cantSplit w:val="0"/>
          <w:trHeight w:val="3035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търговско дружество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7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юридическо лице с нестопанска цел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друго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моля, уточнете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):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обществени услуги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околна среда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икономическа и финансова дейност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здравеопазване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28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настаняване/жилищно строителство и места за отдих и култура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социална закрила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отдих, култура и религия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образование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търговска дейност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друго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моля, уточнете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):</w:t>
            </w:r>
          </w:p>
        </w:tc>
      </w:tr>
    </w:tbl>
    <w:p w:rsidR="00000000" w:rsidDel="00000000" w:rsidP="00000000" w:rsidRDefault="00000000" w:rsidRPr="00000000" w14:paraId="00000032">
      <w:pPr>
        <w:spacing w:line="264" w:lineRule="auto"/>
        <w:rPr>
          <w:sz w:val="24"/>
          <w:szCs w:val="24"/>
        </w:rPr>
        <w:sectPr>
          <w:headerReference r:id="rId9" w:type="default"/>
          <w:footerReference r:id="rId10" w:type="default"/>
          <w:pgSz w:h="16840" w:w="11910" w:orient="portrait"/>
          <w:pgMar w:bottom="1600" w:top="1980" w:left="1300" w:right="1300" w:header="785" w:footer="14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59" w:lineRule="auto"/>
        <w:ind w:left="116" w:right="539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РАЗДЕЛ ІІ.: ОБЕКТ И ПРЕДМЕТ НА ПРОЦЕДУРАТА ЗА ОПРЕДЕЛЯНЕ НА ИЗПЪЛНИТЕЛ</w:t>
      </w:r>
    </w:p>
    <w:p w:rsidR="00000000" w:rsidDel="00000000" w:rsidP="00000000" w:rsidRDefault="00000000" w:rsidRPr="00000000" w14:paraId="00000034">
      <w:pPr>
        <w:spacing w:line="273" w:lineRule="auto"/>
        <w:ind w:left="11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ІІ.1) Описание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Ind w:w="14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5"/>
        <w:gridCol w:w="3210"/>
        <w:gridCol w:w="585"/>
        <w:gridCol w:w="1740"/>
        <w:gridCol w:w="1590"/>
        <w:gridCol w:w="1830"/>
        <w:tblGridChange w:id="0">
          <w:tblGrid>
            <w:gridCol w:w="105"/>
            <w:gridCol w:w="3210"/>
            <w:gridCol w:w="585"/>
            <w:gridCol w:w="1740"/>
            <w:gridCol w:w="1590"/>
            <w:gridCol w:w="1830"/>
          </w:tblGrid>
        </w:tblGridChange>
      </w:tblGrid>
      <w:tr>
        <w:trPr>
          <w:cantSplit w:val="0"/>
          <w:trHeight w:val="55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ІІ.1.1) Обект на процедурата и място на изпълнение на строителството,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доставката или услугата</w:t>
            </w:r>
          </w:p>
        </w:tc>
      </w:tr>
      <w:tr>
        <w:trPr>
          <w:cantSplit w:val="0"/>
          <w:trHeight w:val="55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(Изберете само един обект – строителство, доставки или услуги, които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съответства на конкретния предмет на вашата процедура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5" w:right="0" w:firstLine="0"/>
              <w:jc w:val="left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(а) Строителство </w:t>
            </w: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</w:p>
        </w:tc>
        <w:tc>
          <w:tcPr>
            <w:gridSpan w:val="2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4" w:right="0" w:firstLine="0"/>
              <w:jc w:val="left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(б) Доставки </w:t>
            </w: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☒</w:t>
                </w:r>
              </w:sdtContent>
            </w:sdt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3" w:right="0" w:firstLine="0"/>
              <w:jc w:val="left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(в) Услуги </w:t>
            </w: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</w:p>
        </w:tc>
      </w:tr>
      <w:tr>
        <w:trPr>
          <w:cantSplit w:val="0"/>
          <w:trHeight w:val="24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6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Изграждане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Проектиране и изпълнение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5" w:right="0" w:firstLine="0"/>
              <w:jc w:val="left"/>
              <w:rPr>
                <w:sz w:val="24"/>
                <w:szCs w:val="24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sz w:val="24"/>
                <w:szCs w:val="24"/>
                <w:rtl w:val="0"/>
              </w:rPr>
              <w:t xml:space="preserve">Рехабилитация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реконструкция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sz w:val="24"/>
                <w:szCs w:val="24"/>
                <w:rtl w:val="0"/>
              </w:rPr>
              <w:t xml:space="preserve">Строително-монтажни работи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Покупка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Лизинг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Покупка на изплащане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17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Наем за машини и оборудване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4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Комбинация от изброените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Други (моля, пояснете)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1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28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Място на изпълнение на строителството: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3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69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Място на изпълнение на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доставката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гр. Варна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NUTS: BG 331</w:t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270.9448818897635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Място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на изпълнение на услугата:</w:t>
            </w:r>
          </w:p>
        </w:tc>
      </w:tr>
      <w:tr>
        <w:trPr>
          <w:cantSplit w:val="0"/>
          <w:trHeight w:val="2483" w:hRule="atLeast"/>
          <w:tblHeader w:val="0"/>
        </w:trPr>
        <w:tc>
          <w:tcPr>
            <w:gridSpan w:val="3"/>
            <w:tcBorders>
              <w:right w:color="000000" w:space="0" w:sz="6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317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ІІ.1.2) Описание на предмета на процедурата: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317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Доставка на облачни услуги и софтуер</w:t>
            </w:r>
          </w:p>
          <w:p w:rsidR="00000000" w:rsidDel="00000000" w:rsidP="00000000" w:rsidRDefault="00000000" w:rsidRPr="00000000" w14:paraId="00000063">
            <w:pPr>
              <w:ind w:left="141.73228346456688" w:firstLine="0"/>
              <w:rPr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Обособена позиция 1: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Облачни услуги за изчислителни задачи </w:t>
            </w:r>
          </w:p>
          <w:p w:rsidR="00000000" w:rsidDel="00000000" w:rsidP="00000000" w:rsidRDefault="00000000" w:rsidRPr="00000000" w14:paraId="00000064">
            <w:pPr>
              <w:ind w:left="141.7322834645668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Доставка на облачни услуги за изчислителни задачи  – 10 бр. </w:t>
            </w:r>
            <w:r w:rsidDel="00000000" w:rsidR="00000000" w:rsidRPr="00000000">
              <w:rPr>
                <w:rtl w:val="0"/>
              </w:rPr>
              <w:t xml:space="preserve">акаунта за достъп</w:t>
            </w:r>
            <w:r w:rsidDel="00000000" w:rsidR="00000000" w:rsidRPr="00000000">
              <w:rPr>
                <w:color w:val="00000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65">
            <w:pPr>
              <w:ind w:left="141.73228346456688" w:firstLine="0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ind w:left="141.73228346456688" w:firstLine="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Обособена позиция 2: </w:t>
            </w:r>
            <w:r w:rsidDel="00000000" w:rsidR="00000000" w:rsidRPr="00000000">
              <w:rPr>
                <w:color w:val="000000"/>
                <w:rtl w:val="0"/>
              </w:rPr>
              <w:t xml:space="preserve">Доставка на софтуер за изчислителни модели и доставка на софтуер за разработка на VR решения</w:t>
            </w:r>
          </w:p>
          <w:p w:rsidR="00000000" w:rsidDel="00000000" w:rsidP="00000000" w:rsidRDefault="00000000" w:rsidRPr="00000000" w14:paraId="00000067">
            <w:pPr>
              <w:ind w:left="141.7322834645668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Доставка на софтуер за изчислителни модели – 2 бр.</w:t>
            </w:r>
          </w:p>
          <w:p w:rsidR="00000000" w:rsidDel="00000000" w:rsidP="00000000" w:rsidRDefault="00000000" w:rsidRPr="00000000" w14:paraId="00000068">
            <w:pPr>
              <w:ind w:left="141.73228346456688" w:firstLine="0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Доставка на софтуер за разработка на VR решения – 1 бр. класна стая с 5 ра</w:t>
            </w:r>
            <w:r w:rsidDel="00000000" w:rsidR="00000000" w:rsidRPr="00000000">
              <w:rPr>
                <w:rtl w:val="0"/>
              </w:rPr>
              <w:t xml:space="preserve">ботни места.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gridSpan w:val="6"/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ІІ.1.3) Общ терминологичен речник (CPV):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(Посочва се кодът по CPV на предмета на процедурата, включително за всички обособени позиции, когато е приложимо)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НЕПРИЛОЖИМО</w:t>
            </w:r>
          </w:p>
        </w:tc>
      </w:tr>
      <w:tr>
        <w:trPr>
          <w:cantSplit w:val="0"/>
          <w:trHeight w:val="599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8" w:lineRule="auto"/>
              <w:ind w:left="115" w:right="0" w:firstLine="0"/>
              <w:jc w:val="left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ІІ.1.4) Обособени позиции: да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</w:t>
            </w: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Ако да,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офертите трябва да бъдат подадени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(отбележете само едно):</w:t>
            </w:r>
          </w:p>
        </w:tc>
      </w:tr>
      <w:tr>
        <w:trPr>
          <w:cantSplit w:val="0"/>
          <w:trHeight w:val="551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 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 за една обособена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позиция</w:t>
            </w:r>
          </w:p>
        </w:tc>
        <w:tc>
          <w:tcPr>
            <w:gridSpan w:val="2"/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☒ 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една или повече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1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обособени позиции</w:t>
            </w:r>
          </w:p>
        </w:tc>
        <w:tc>
          <w:tcPr>
            <w:gridSpan w:val="2"/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всички обособени позиции</w:t>
            </w:r>
          </w:p>
        </w:tc>
      </w:tr>
    </w:tbl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before="149" w:lineRule="auto"/>
        <w:ind w:left="116" w:firstLine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ІІ.2) К</w:t>
      </w:r>
      <w:r w:rsidDel="00000000" w:rsidR="00000000" w:rsidRPr="00000000">
        <w:rPr>
          <w:b w:val="1"/>
          <w:sz w:val="20"/>
          <w:szCs w:val="20"/>
          <w:rtl w:val="0"/>
        </w:rPr>
        <w:t xml:space="preserve">ОЛИЧЕСТВО ИЛИ ОБЕМ НА ОБЕКТА НА ПРОЦЕДУРАТА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9.0" w:type="dxa"/>
        <w:jc w:val="left"/>
        <w:tblInd w:w="1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9"/>
        <w:tblGridChange w:id="0">
          <w:tblGrid>
            <w:gridCol w:w="9069"/>
          </w:tblGrid>
        </w:tblGridChange>
      </w:tblGrid>
      <w:tr>
        <w:trPr>
          <w:cantSplit w:val="0"/>
          <w:trHeight w:val="554" w:hRule="atLeast"/>
          <w:tblHeader w:val="0"/>
        </w:trPr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Общо количество или обем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(включително всички обособени позиции, когато е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приложимо)</w:t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"/>
          <w:szCs w:val="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69.0" w:type="dxa"/>
        <w:jc w:val="left"/>
        <w:tblInd w:w="1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9"/>
        <w:tblGridChange w:id="0">
          <w:tblGrid>
            <w:gridCol w:w="9069"/>
          </w:tblGrid>
        </w:tblGridChange>
      </w:tblGrid>
      <w:tr>
        <w:trPr>
          <w:cantSplit w:val="0"/>
          <w:trHeight w:val="4140" w:hRule="atLeast"/>
          <w:tblHeader w:val="0"/>
        </w:trPr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   </w:t>
            </w:r>
            <w:r w:rsidDel="00000000" w:rsidR="00000000" w:rsidRPr="00000000">
              <w:rPr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Обособена позиция 1: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Облачни усл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уги за изчислителни задачи  в съответствие с приложена  Техническа спецификация, както следва: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Доставка на облачни услуги за изчислителни задачи  – 10 бр.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акаунта за достъп за период от 8 месеца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–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59 004,15 лв. без ДДС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Прогнозна стойност в лева, без ДДС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(когато е приложимо)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цифри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: 70 804, 98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лева с ДДС 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59 004,15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лева без ДДС/</w:t>
            </w:r>
          </w:p>
          <w:p w:rsidR="00000000" w:rsidDel="00000000" w:rsidP="00000000" w:rsidRDefault="00000000" w:rsidRPr="00000000" w14:paraId="00000090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Обособена позиция 2: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Доставка на софтуер за изчислителни модели и доставка на софтуер за разработка на VR решения</w:t>
            </w:r>
          </w:p>
          <w:p w:rsidR="00000000" w:rsidDel="00000000" w:rsidP="00000000" w:rsidRDefault="00000000" w:rsidRPr="00000000" w14:paraId="0000009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Доставка на софтуер за изчислителни модели – 2 бр. – 29953,20 лева с ДДС (24 961 лв. без ДДС)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Доставка на софтуер за разработка на VR решения – 1 бр. класна стая с 5 работни места – 2856,96 лева с ДДС (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2380,80 лв. без ДДС)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2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2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Посочените прогнозни стойности представляват максималният бюджет на процедурата. Офертите на участниците не трябва да го надхвърлят. Участник, предложил цена, по-висока от допустимата, ще бъде отстранен от участие. В цената се включват всички разходи, свързани с качественото изпълнение на поръчката, условията по тях са описани в Техническата спецификация.</w:t>
            </w:r>
          </w:p>
        </w:tc>
      </w:tr>
    </w:tbl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before="218" w:lineRule="auto"/>
        <w:ind w:left="11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ІІ.3) Срок на договора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9.0" w:type="dxa"/>
        <w:jc w:val="left"/>
        <w:tblInd w:w="1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9"/>
        <w:tblGridChange w:id="0">
          <w:tblGrid>
            <w:gridCol w:w="9069"/>
          </w:tblGrid>
        </w:tblGridChange>
      </w:tblGrid>
      <w:tr>
        <w:trPr>
          <w:cantSplit w:val="0"/>
          <w:trHeight w:val="845.0244140625" w:hRule="atLeast"/>
          <w:tblHeader w:val="0"/>
        </w:trPr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Срокът за изпълнение на доставката по Обособена позиция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1: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31.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09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.202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г.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Срокът за изпълнение на доставката по Обособена позиция 2: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31.0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.202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г.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before="1" w:line="256" w:lineRule="auto"/>
        <w:ind w:left="116" w:right="1620" w:firstLine="0"/>
        <w:rPr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sz w:val="24"/>
          <w:szCs w:val="24"/>
          <w:rtl w:val="0"/>
        </w:rPr>
        <w:t xml:space="preserve">РАЗДЕЛ ІІІ: ЮРИДИЧЕСКА, ИКОНОМИЧЕСКА, ФИНАНСОВА И ТЕХНИЧЕСКА ИНФОРМАЦИЯ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7"/>
          <w:szCs w:val="3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ind w:left="11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ІІІ.1) Условия, свързани с изпълнението на предмета на процедурата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69.0" w:type="dxa"/>
        <w:jc w:val="left"/>
        <w:tblInd w:w="1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9"/>
        <w:tblGridChange w:id="0">
          <w:tblGrid>
            <w:gridCol w:w="9069"/>
          </w:tblGrid>
        </w:tblGridChange>
      </w:tblGrid>
      <w:tr>
        <w:trPr>
          <w:cantSplit w:val="0"/>
          <w:trHeight w:val="1658" w:hRule="atLeast"/>
          <w:tblHeader w:val="0"/>
        </w:trPr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1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ІІІ.1.1) Изискуеми гаранции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когато е приложимо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  <mc:AlternateContent>
                <mc:Choice Requires="wpg">
                  <w:drawing>
                    <wp:inline distB="0" distT="0" distL="114300" distR="114300">
                      <wp:extent cx="5486400" cy="10160"/>
                      <wp:effectExtent b="0" l="0" r="0" t="0"/>
                      <wp:docPr id="26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2602800" y="3774920"/>
                                <a:ext cx="5486400" cy="10160"/>
                                <a:chOff x="2602800" y="3774920"/>
                                <a:chExt cx="5486400" cy="101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2602800" y="3774920"/>
                                  <a:ext cx="5486400" cy="10150"/>
                                  <a:chOff x="0" y="0"/>
                                  <a:chExt cx="5486400" cy="10150"/>
                                </a:xfrm>
                              </wpg:grpSpPr>
                              <wps:wsp>
                                <wps:cNvSpPr/>
                                <wps:cNvPr id="9" name="Shape 9"/>
                                <wps:spPr>
                                  <a:xfrm>
                                    <a:off x="0" y="0"/>
                                    <a:ext cx="5486400" cy="10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0" name="Shape 10"/>
                                <wps:spPr>
                                  <a:xfrm>
                                    <a:off x="0" y="5080"/>
                                    <a:ext cx="5486400" cy="0"/>
                                  </a:xfrm>
                                  <a:prstGeom prst="straightConnector1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cap="flat" cmpd="sng" w="9600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114300" distR="114300">
                      <wp:extent cx="5486400" cy="10160"/>
                      <wp:effectExtent b="0" l="0" r="0" t="0"/>
                      <wp:docPr id="26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486400" cy="101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Условията и сроковете за задържане или освобождаване на гаранцията за изпълнение се уреждат в договора за изпълнение, и са описани в глава. VII. „Гаранции за изпълнение“ от проекта на договор, приложен към документите към обществената поръчка.</w:t>
            </w:r>
          </w:p>
        </w:tc>
      </w:tr>
      <w:tr>
        <w:trPr>
          <w:cantSplit w:val="0"/>
          <w:trHeight w:val="3863" w:hRule="atLeast"/>
          <w:tblHeader w:val="0"/>
        </w:trPr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ІІІ.1.2) Условия и начин на финансиране и плащане и/или препратка към съответните разпоредби, които ги уреждат: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9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9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Плащанията по настоящия договор ще се извършват в лева, по банков път с платежно нареждане, срещу представена оригинална фактура, както следва: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97" w:firstLine="0"/>
              <w:jc w:val="left"/>
              <w:rPr>
                <w:color w:val="00000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97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9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обособена позиция 1: </w:t>
            </w:r>
          </w:p>
          <w:p w:rsidR="00000000" w:rsidDel="00000000" w:rsidP="00000000" w:rsidRDefault="00000000" w:rsidRPr="00000000" w14:paraId="000000A8">
            <w:pPr>
              <w:tabs>
                <w:tab w:val="left" w:pos="3786"/>
              </w:tabs>
              <w:ind w:left="112" w:right="173" w:firstLine="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Две авансови плащания за период от по три месеца след сключване на договора и след изтичане на първите три месеца от използването на услугата и финално плащане в края на периода след подписване на Приемо-предавателен протокол и представяне на фактура. </w:t>
            </w:r>
          </w:p>
          <w:p w:rsidR="00000000" w:rsidDel="00000000" w:rsidP="00000000" w:rsidRDefault="00000000" w:rsidRPr="00000000" w14:paraId="000000A9">
            <w:pPr>
              <w:tabs>
                <w:tab w:val="left" w:pos="3786"/>
              </w:tabs>
              <w:ind w:left="112" w:right="173" w:firstLine="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2" w:right="173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обособена позиция 2: 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7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Плащане в размер на 100 (сто) % от стойността на договора, платимо до 30 календарни дни, след приемане без забележки на изпълнението на услугата и подписване на приемо-предавателен протокол (по образец на програмата), и издаване на фактура от страна на Изпълнителя.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2" w:right="17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издадените от ИЗПЪЛНИТЕЛЯ фактури, като основание за плащане се посочва, че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9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„Разходът е в изпълнение на проект №BG05M20P001-2.016-0025, сключен с ОП НОИР“.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color w:val="00000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line="268" w:lineRule="auto"/>
              <w:ind w:left="115" w:firstLine="0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9"/>
                <w:sz w:val="24"/>
                <w:szCs w:val="24"/>
                <w:rtl w:val="0"/>
              </w:rPr>
              <w:t xml:space="preserve">Плащанията ще се извършат съгласно Глава ІІ. „Цена и начин на плащане“ от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spacing w:line="264" w:lineRule="auto"/>
              <w:ind w:left="115" w:firstLine="0"/>
              <w:rPr>
                <w:color w:val="000009"/>
                <w:sz w:val="24"/>
                <w:szCs w:val="24"/>
              </w:rPr>
            </w:pPr>
            <w:r w:rsidDel="00000000" w:rsidR="00000000" w:rsidRPr="00000000">
              <w:rPr>
                <w:color w:val="000009"/>
                <w:sz w:val="24"/>
                <w:szCs w:val="24"/>
                <w:rtl w:val="0"/>
              </w:rPr>
              <w:t xml:space="preserve">проекта на договор.</w:t>
            </w:r>
          </w:p>
        </w:tc>
      </w:tr>
    </w:tbl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77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"/>
          <w:szCs w:val="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9.0" w:type="dxa"/>
        <w:jc w:val="left"/>
        <w:tblInd w:w="1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9"/>
        <w:tblGridChange w:id="0">
          <w:tblGrid>
            <w:gridCol w:w="9069"/>
          </w:tblGrid>
        </w:tblGridChange>
      </w:tblGrid>
      <w:tr>
        <w:trPr>
          <w:cantSplit w:val="0"/>
          <w:trHeight w:val="1655" w:hRule="atLeast"/>
          <w:tblHeader w:val="0"/>
        </w:trPr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516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ІІІ.1.3) Условия от договора за изпълнение, които могат да бъдат изменяни в хода на изпълнението му: (Или: Условия от изпълнението на предмета на процедурата, които могат да бъдат изменяни в договора:) или (Възможни промени в условията за изпълнение на предмета на процедурата/клаузите на договора: 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(когато е приложимо)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е приложимо</w:t>
            </w:r>
          </w:p>
        </w:tc>
      </w:tr>
      <w:tr>
        <w:trPr>
          <w:cantSplit w:val="0"/>
          <w:trHeight w:val="7452" w:hRule="atLeast"/>
          <w:tblHeader w:val="0"/>
        </w:trPr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15" w:right="1421.456692913386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ІІІ.1.4) Други особени условия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(когато е приложимо)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</w:t>
            </w: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☒   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</w:t>
            </w: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 </w:t>
                  <w:br w:type="textWrapping"/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Ако да,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опишете ги: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55"/>
              </w:tabs>
              <w:spacing w:after="0" w:before="0" w:line="240" w:lineRule="auto"/>
              <w:ind w:left="115" w:right="18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Кандидатът трябва да отговаря напълно на всички определени в документацията от бенефициента минимални изисквания и условия (задължителни), свързани с изпълнението на предмета на процедурата. Непокриването на дори само едно от тези изисквания е основание за отстраняване на кандидата от по-нататъшна оценка, поради несъответствие с поставените от възложителя минимални изисквания за изпълнение на предмета на процедурата.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55"/>
              </w:tabs>
              <w:spacing w:after="0" w:before="0" w:line="240" w:lineRule="auto"/>
              <w:ind w:left="115" w:right="299" w:firstLine="26.7322834645668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Всяка оферта трябва да е изготвена в съответствие с приложение „Изисквания към офертите“.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55"/>
              </w:tabs>
              <w:spacing w:after="0" w:before="0" w:line="240" w:lineRule="auto"/>
              <w:ind w:left="115" w:right="299" w:firstLine="26.73228346456689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Оферираните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условия за изпълнение на услугата трябва да покриват и/или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надвишават минималните, посочени в Приложение „Техническа спецификация”;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55"/>
              </w:tabs>
              <w:spacing w:after="0" w:before="0" w:line="240" w:lineRule="auto"/>
              <w:ind w:left="115" w:right="299" w:firstLine="26.73228346456689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Офертите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за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участие в процедурата се изготвят на български език;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55"/>
              </w:tabs>
              <w:spacing w:after="0" w:before="0" w:line="240" w:lineRule="auto"/>
              <w:ind w:left="115" w:right="299" w:firstLine="26.73228346456689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Кандидатът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в процедурата има право да представи само една оферта;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55"/>
              </w:tabs>
              <w:spacing w:after="0" w:before="0" w:line="240" w:lineRule="auto"/>
              <w:ind w:left="115" w:right="299" w:firstLine="26.73228346456689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Офертата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следва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поканата;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55"/>
              </w:tabs>
              <w:spacing w:after="0" w:before="0" w:line="240" w:lineRule="auto"/>
              <w:ind w:left="115" w:right="299" w:firstLine="26.73228346456689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Следва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да се има предвид, че срокът на валидност на офертите е времето, през което кандидатите са обвързани с условията на представените от тях оферти;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55"/>
              </w:tabs>
              <w:spacing w:after="0" w:before="0" w:line="240" w:lineRule="auto"/>
              <w:ind w:left="115" w:right="299" w:firstLine="26.73228346456689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Лице,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което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участва в обединение или е дало съгласие и фигурира като подизпълнител в офертата на друг кандидат, не може да представи самостоятелна оферта;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Оферти, които са представени след изтичане на крайния срок за получаване, не се разглеждат и не се оценяват;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55"/>
              </w:tabs>
              <w:spacing w:after="0" w:before="0" w:line="240" w:lineRule="auto"/>
              <w:ind w:left="115" w:right="299" w:firstLine="26.73228346456689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случай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че кандидатът бъде определен за изпълнител, той ще представи доказателства за декларираните в Декларация по чл. 12, ал. 1, т. 1 от ПМС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№160/01.07.2016 г. обстоятелства преди сключването на договора.</w:t>
            </w:r>
          </w:p>
        </w:tc>
      </w:tr>
    </w:tbl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before="218" w:lineRule="auto"/>
        <w:ind w:left="11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ІІІ.2) Условия за участие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069.0" w:type="dxa"/>
        <w:jc w:val="left"/>
        <w:tblInd w:w="1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9"/>
        <w:tblGridChange w:id="0">
          <w:tblGrid>
            <w:gridCol w:w="9069"/>
          </w:tblGrid>
        </w:tblGridChange>
      </w:tblGrid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ІІІ.2.1) Правен статус</w:t>
            </w:r>
          </w:p>
        </w:tc>
      </w:tr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Изискуеми документи:</w:t>
            </w:r>
          </w:p>
        </w:tc>
      </w:tr>
      <w:tr>
        <w:trPr>
          <w:cantSplit w:val="0"/>
          <w:trHeight w:val="1380" w:hRule="atLeast"/>
          <w:tblHeader w:val="0"/>
        </w:trPr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01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Оферта може да подава всяко българско или чуждестранно физическо или юридическо лице, както и техни обединения. Когато е заявено участие на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подизпълнител/и, посочените изискуеми документите в от настоящия раздел т. 1 се прилагат и за него/тях. Договори не могат да се сключват с кандидати, които са свързани лица по смисъла на § 1, т. 13 и 14 от допълнителните разпоредби на Закона</w:t>
            </w:r>
          </w:p>
        </w:tc>
      </w:tr>
    </w:tbl>
    <w:p w:rsidR="00000000" w:rsidDel="00000000" w:rsidP="00000000" w:rsidRDefault="00000000" w:rsidRPr="00000000" w14:paraId="000000C9">
      <w:pPr>
        <w:rPr>
          <w:sz w:val="24"/>
          <w:szCs w:val="24"/>
        </w:rPr>
        <w:sectPr>
          <w:type w:val="nextPage"/>
          <w:pgSz w:h="16840" w:w="11910" w:orient="portrait"/>
          <w:pgMar w:bottom="1600" w:top="1980" w:left="1300" w:right="1300" w:header="785" w:footer="14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5" w:before="0" w:line="240" w:lineRule="auto"/>
        <w:ind w:left="397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069.0" w:type="dxa"/>
        <w:jc w:val="left"/>
        <w:tblInd w:w="1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9"/>
        <w:tblGridChange w:id="0">
          <w:tblGrid>
            <w:gridCol w:w="9069"/>
          </w:tblGrid>
        </w:tblGridChange>
      </w:tblGrid>
      <w:tr>
        <w:trPr>
          <w:cantSplit w:val="0"/>
          <w:trHeight w:val="12697" w:hRule="atLeast"/>
          <w:tblHeader w:val="0"/>
        </w:trPr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публичното предлагане на ценни книжа, с бенефициента или с член на неговия управителен или контролен орган.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представяне: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84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      Декларация с посочване на ЕИК/Удостоверение за актуално състояние, а когато е физическо лице - документ за самоличност. В случай, че кандидатът е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чуждестранно юридическо лице, се прилагат аналогични на посочените изискуеми официални документи от съответната страна.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Когато в съответната чужда държава не се издават документите по т.1, кандидатът представя клетвена декларация, ако такава декларация има правно значение според закона на държавата, в която е установен или регистриран.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обединения, които не са юридически лица: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01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а) Договор за създаване на обединение (оригинал или нотариално заверено копие), в който задължително се посочва представляващия/те;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01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б) Удостоверение за регистрация по ЕИК – копие, подпис, печат и “Вярно с оригинала” (ако обединението вече е вписано в регистър БУЛСТАТ)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ИЛИ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01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в) Договор за създаване на обединение (оригинал или нотариално заверено копие), в който задължително се посочва представляващия/те;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73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Забележка: В случай, че обединение, което не е юридическо лице, не е вписано в регистър Булстат и същото това обединение бъде избрано за изпълнител,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45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то следва да се впише в Регистър БУЛСТАТ, т.е. да се представи удостоверение за регистрация по ЕИК при подписване на договор за изпълнение.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        Декларация по чл. 12, ал. 1, т. 1 от ПМС № 160/01.07.2016 г.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55"/>
              </w:tabs>
              <w:spacing w:after="0" w:before="0" w:line="240" w:lineRule="auto"/>
              <w:ind w:left="355" w:right="0" w:hanging="24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Декларация по чл. 53 от ЗУСЕСИФ;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55"/>
              </w:tabs>
              <w:spacing w:after="0" w:before="0" w:line="240" w:lineRule="auto"/>
              <w:ind w:left="115" w:right="68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Доказателства за технически възможности и/или квалификация (ако такива се изискват);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55"/>
              </w:tabs>
              <w:spacing w:after="0" w:before="0" w:line="240" w:lineRule="auto"/>
              <w:ind w:left="115" w:right="32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Декларация за подизпълнителите, които ще участват в изпълнението на предмета на процедурата и дела на тяхното участие (ако кандидатът е декларирал, че ще ползва подизпълнители);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55"/>
              </w:tabs>
              <w:spacing w:after="0" w:before="0" w:line="240" w:lineRule="auto"/>
              <w:ind w:left="115" w:right="90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Документи по т. 1, 2 ,3 и 4 за всеки от подизпълнителите в съответствие с Постановление № 160 на Министерския съвет от 2016 г. (когато се предвижда участието на подизпълнители);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3"/>
              </w:tabs>
              <w:spacing w:after="0" w:before="0" w:line="240" w:lineRule="auto"/>
              <w:ind w:left="115" w:right="17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Подробна техническа спецификация /под формата на брошура, продуктов каталог или друг подходящ документ, от който да са видни техническите характеристики);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55"/>
              </w:tabs>
              <w:spacing w:after="0" w:before="0" w:line="240" w:lineRule="auto"/>
              <w:ind w:left="355" w:right="0" w:hanging="24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Приложение № 2 – Техническо и Ценово предложение на Изпълнителя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55"/>
              </w:tabs>
              <w:spacing w:after="0" w:before="0" w:line="240" w:lineRule="auto"/>
              <w:ind w:left="115" w:right="100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Други документи и доказателства, изискани и посочени от бенефициента в документацията за участие.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20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случай, че офертите за тръжната процедура се представят и подписват от лице, различно от управляващия кандидата по регистрация се изисква: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01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Нотариално заверено пълномощно или нотариално заверен препис на пълномощното.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01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(За чуждестранни кандидати - съответен еквивалентен документ, издаден от съответен съдебен или административен орган в държавата, в която са установени, които се придружават от превод на български език).</w:t>
            </w:r>
          </w:p>
        </w:tc>
      </w:tr>
    </w:tbl>
    <w:p w:rsidR="00000000" w:rsidDel="00000000" w:rsidP="00000000" w:rsidRDefault="00000000" w:rsidRPr="00000000" w14:paraId="000000E3">
      <w:pPr>
        <w:rPr>
          <w:sz w:val="24"/>
          <w:szCs w:val="24"/>
        </w:rPr>
        <w:sectPr>
          <w:footerReference r:id="rId12" w:type="default"/>
          <w:type w:val="nextPage"/>
          <w:pgSz w:h="16840" w:w="11910" w:orient="portrait"/>
          <w:pgMar w:bottom="1600" w:top="760" w:left="1300" w:right="1300" w:header="0" w:footer="14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070.0" w:type="dxa"/>
        <w:jc w:val="left"/>
        <w:tblInd w:w="1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17"/>
        <w:gridCol w:w="4653"/>
        <w:tblGridChange w:id="0">
          <w:tblGrid>
            <w:gridCol w:w="4417"/>
            <w:gridCol w:w="4653"/>
          </w:tblGrid>
        </w:tblGridChange>
      </w:tblGrid>
      <w:tr>
        <w:trPr>
          <w:cantSplit w:val="0"/>
          <w:trHeight w:val="55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ІІІ.2.2) Икономически и финансови възможности (по чл. 3, ал. 11 от ПМС №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160/01.07.2016г.)</w:t>
            </w:r>
          </w:p>
        </w:tc>
      </w:tr>
      <w:tr>
        <w:trPr>
          <w:cantSplit w:val="0"/>
          <w:trHeight w:val="5520" w:hRule="atLeast"/>
          <w:tblHeader w:val="0"/>
        </w:trPr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Изискуеми документи и информация по Обособена позиция 1: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299.763779527559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Заверени с подпис, печат и текст ''Вярно с оригинала'' копия на отчети за приходи и разходи за последните три приключени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299.763779527559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финансови години, в зависимост от датата, на която кандидатът е учреден или е започнал дейността си. В случай че участникът е публикувал финансовите си отчети по партидата на дружеството в Търговски регистър, представянето на отчетите, не е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необходимо. Ако участникът е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1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обединение, състоящо се от юридически и/или физически лица, горепосочените документи се представят от лицето/лицата, с което/които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03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кандидатът доказва заложеното изискване.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03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Изискуеми документи и информация по Обособена позиция 2: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67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Заверени с подпис, печат и текст ''Вярно с оригинала'' копия на отчети за приходи и разходи за последните три приключени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93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финансови години, в зависимост от датата, на която кандидатът е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22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учреден или е започнал дейността си. В случай че участникът е публикувал финансовите си отчети по партидата на дружеството в Търговски регистър, представянето на отчетите, не е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необходимо. Ако участникът е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1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обединение, състоящо се от юридически и/или физически лица, горепосочените документи се представят от лицето/лицата, с което/които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03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кандидатът доказва заложеното изискване.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03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Минимални изисквания по Обособена позиция 1: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01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01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Кандидатът трябва да е реализирал за последните 3 (три) приключили финансови години, в зависимост от датата, на която кандидатът е учреден или е започнал дейността си нетни приходи от продажби на стойност не по-малка от прогнозната стойност на поръчката за съответната обособена позиция.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5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случай че участникът е обединение, състоящо се от юридически и/или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32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физически лица, се вземат под внимание стойности по данните от представените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2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документи, съответстващи на предходната точка, представени от лицето/лицата, с което/които кандидатът доказва заложеното изискване.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2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2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Минимални изисквания по Обособена позиция 2: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01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01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Кандидатът трябва да е реализирал за последните 3 (три) приключили финансови години, в зависимост от датата, на която кандидатът е учреден или е започнал дейността си нетни приходи от продажби на стойност не по-малка от прогнозната стойност на поръчката за съответната обособена позиция.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5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случай че участникът е обединение, състоящо се от юридически и/или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32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физически лица, се вземат под внимание стойности по данните от представените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2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документи, съответстващи на предходната точка, представени от лицето/лицата, с което/които кандидатът доказва заложеното изискване.</w:t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tcBorders>
              <w:right w:color="000000" w:space="0" w:sz="6" w:val="single"/>
            </w:tcBorders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ІІІ.2.3) Технически възможности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271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и/или квалификация (по чл. 3, ал. 13 от ПМС №160/01.07.2016 г.)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8" w:hRule="atLeast"/>
          <w:tblHeader w:val="0"/>
        </w:trPr>
        <w:tc>
          <w:tcPr/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351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Изискуеми документи и информация по обособена позиция 1: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35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1.Посочените изисквания се доказват със: Списък на изпълнените доставки/услуги, които са идентични или сходни с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8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предмета на поръчката, за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и получателите.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9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Всички документи, които са копия, и за които не е посочено, че се представят в оригинал, следва да бъдат заверени от кандидата с „Вярно с оригинала”, подпис и печат.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9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351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Изискуеми документи и информация по обособена позиция 2: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35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1.Посочените изисквания се доказват със: Списък на изпълнените доставки/услуги, които са идентични или сходни с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8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предмета на поръчката, за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и получателите.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9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Всички документи, които са копия, и за които не е посочено, че се представят в оригинал, следва да бъдат заверени от кандидата с „Вярно с оригинала”, подпис и печат.</w:t>
            </w:r>
          </w:p>
        </w:tc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73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Минимални изисквания към обособена позиция 1: 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7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Кандидатът (търговецът или обединението като цяло) трябва да е изпълнил поне 1 (една) доставка/услуга през последните 3 години, считано от крайната дата за представяне на оферти по настоящата процедура, с предмет, сходен с предмета на настоящата процедура. Под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24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„сходен“ предмет се разбира: доставка на облачни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услуги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идентични с описаните в техническата спецификация. При участие на обединение, изискването следва да се изпълни от обединението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като цяло.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73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Минимални изисквания към обособена позиция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7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Кандидатът (търговецът или обединението като цяло) трябва да е изпълнил поне 1 (една) доставка/услуга през последните 3 години, считано от крайната дата за представяне на оферти по настоящата процедура, с предмет, сходен с предмета на настоящата процедура. Под</w:t>
            </w:r>
          </w:p>
          <w:p w:rsidR="00000000" w:rsidDel="00000000" w:rsidP="00000000" w:rsidRDefault="00000000" w:rsidRPr="00000000" w14:paraId="000001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„сходен“ предмет се разбира: доставка на софтуер </w:t>
            </w:r>
            <w:r w:rsidDel="00000000" w:rsidR="00000000" w:rsidRPr="00000000">
              <w:rPr>
                <w:color w:val="000000"/>
                <w:rtl w:val="0"/>
              </w:rPr>
              <w:t xml:space="preserve">за изчислителни модели и софтуер за разработка на VR решения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идентични с описаните в техническата спецификация. При участие на обединение, изискването следва да се изпълни от обединението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като цяло.</w:t>
            </w:r>
          </w:p>
        </w:tc>
      </w:tr>
    </w:tbl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before="218" w:lineRule="auto"/>
        <w:ind w:left="11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РАЗДЕЛ ІV ПРОЦЕДУРА</w:t>
      </w:r>
    </w:p>
    <w:p w:rsidR="00000000" w:rsidDel="00000000" w:rsidP="00000000" w:rsidRDefault="00000000" w:rsidRPr="00000000" w14:paraId="0000011D">
      <w:pPr>
        <w:spacing w:before="19" w:lineRule="auto"/>
        <w:ind w:left="116" w:firstLine="0"/>
        <w:rPr>
          <w:b w:val="1"/>
          <w:sz w:val="24"/>
          <w:szCs w:val="24"/>
        </w:rPr>
        <w:sectPr>
          <w:footerReference r:id="rId13" w:type="default"/>
          <w:type w:val="nextPage"/>
          <w:pgSz w:h="16840" w:w="11910" w:orient="portrait"/>
          <w:pgMar w:bottom="1600" w:top="1980" w:left="1300" w:right="1300" w:header="785" w:footer="1408"/>
        </w:sectPr>
      </w:pPr>
      <w:r w:rsidDel="00000000" w:rsidR="00000000" w:rsidRPr="00000000">
        <w:rPr>
          <w:b w:val="1"/>
          <w:sz w:val="24"/>
          <w:szCs w:val="24"/>
          <w:rtl w:val="0"/>
        </w:rPr>
        <w:t xml:space="preserve">ІV.1) Критерий за оценка на офертите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8785.0" w:type="dxa"/>
        <w:jc w:val="left"/>
        <w:tblInd w:w="1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57"/>
        <w:gridCol w:w="5528"/>
        <w:tblGridChange w:id="0">
          <w:tblGrid>
            <w:gridCol w:w="3257"/>
            <w:gridCol w:w="5528"/>
          </w:tblGrid>
        </w:tblGridChange>
      </w:tblGrid>
      <w:tr>
        <w:trPr>
          <w:cantSplit w:val="0"/>
          <w:trHeight w:val="55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Икономически най-изгодна оферта съгласно един от следните критерии: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(моля, отбележете приложимото)</w:t>
            </w:r>
          </w:p>
        </w:tc>
      </w:tr>
      <w:tr>
        <w:trPr>
          <w:cantSplit w:val="0"/>
          <w:trHeight w:val="1379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5" w:right="0" w:firstLine="0"/>
              <w:jc w:val="left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най-ниска цена </w:t>
            </w: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☒</w:t>
                </w:r>
              </w:sdtContent>
            </w:sdt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ниво на разходите, като се отчита разходната ефективност, включително разходите за целия жизнен цикъл </w:t>
            </w: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оптимално съотношение качество – цена </w:t>
            </w: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15" w:right="0" w:firstLine="0"/>
              <w:jc w:val="left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показатели, посочени в Методиката за оценка </w:t>
            </w: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</w:p>
        </w:tc>
      </w:tr>
    </w:tbl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before="215" w:lineRule="auto"/>
        <w:ind w:left="11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Административна информация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8786.0" w:type="dxa"/>
        <w:jc w:val="left"/>
        <w:tblInd w:w="1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786"/>
        <w:tblGridChange w:id="0">
          <w:tblGrid>
            <w:gridCol w:w="8786"/>
          </w:tblGrid>
        </w:tblGridChange>
      </w:tblGrid>
      <w:tr>
        <w:trPr>
          <w:cantSplit w:val="0"/>
          <w:trHeight w:val="1380" w:hRule="atLeast"/>
          <w:tblHeader w:val="0"/>
        </w:trPr>
        <w:tc>
          <w:tcPr/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ІV.2.1) Номер на договора за предоставяне на безвъзмездна финансова помощ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BG05M20P001-2.016-0025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интелигентен растеж“</w:t>
            </w:r>
          </w:p>
        </w:tc>
      </w:tr>
      <w:tr>
        <w:trPr>
          <w:cantSplit w:val="0"/>
          <w:trHeight w:val="1103" w:hRule="atLeast"/>
          <w:tblHeader w:val="0"/>
        </w:trPr>
        <w:tc>
          <w:tcPr/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ІV.2.2) Срок за подаване на оферти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29/04/2022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г.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124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Ще се приемат оферти до изтичане на посочената крайна дата. Офертите се подават чрез ИСУН 2020 (https://eumis2020.government.bg).</w:t>
            </w:r>
          </w:p>
        </w:tc>
      </w:tr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ІV.2.3) Интернет адреси, на които може да бъде намерена поканата:</w:t>
            </w:r>
          </w:p>
        </w:tc>
      </w:tr>
      <w:tr>
        <w:trPr>
          <w:cantSplit w:val="0"/>
          <w:trHeight w:val="827" w:hRule="atLeast"/>
          <w:tblHeader w:val="0"/>
        </w:trPr>
        <w:tc>
          <w:tcPr/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1"/>
              </w:tabs>
              <w:spacing w:after="0" w:before="0" w:line="268" w:lineRule="auto"/>
              <w:ind w:left="451" w:right="0" w:hanging="33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462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https://eumis2020.government.bg/bg/s/Offers/Index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55"/>
              </w:tabs>
              <w:spacing w:after="0" w:before="0" w:line="240" w:lineRule="auto"/>
              <w:ind w:left="355" w:right="0" w:hanging="24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4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https://www.vfu.bg/проекти/BG05M20P001-2.016-0025 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(интернет адрес на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59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възложителя).</w:t>
            </w:r>
          </w:p>
        </w:tc>
      </w:tr>
      <w:tr>
        <w:trPr>
          <w:cantSplit w:val="0"/>
          <w:trHeight w:val="551" w:hRule="atLeast"/>
          <w:tblHeader w:val="0"/>
        </w:trPr>
        <w:tc>
          <w:tcPr/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ІV.2.5) Срок на валидност на офертите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31/05/2022 г.</w:t>
            </w:r>
          </w:p>
        </w:tc>
      </w:tr>
      <w:tr>
        <w:trPr>
          <w:cantSplit w:val="0"/>
          <w:trHeight w:val="3314" w:hRule="atLeast"/>
          <w:tblHeader w:val="0"/>
        </w:trPr>
        <w:tc>
          <w:tcPr/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35" w:lineRule="auto"/>
              <w:ind w:left="115" w:right="402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ІV.2.6) Условия при отваряне на офертите Дата: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/05/2022 (дд/мм/гггг)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10:00 часа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Място: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гр. Варна 9007, к.к. Чайка, ул. Янко Славчев №84, Варненски свободен университет „Черноризец Храбър“,офис „Международни проекти“.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Лица, които могат да присъстват при отварянето на офертите: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55"/>
              </w:tabs>
              <w:spacing w:after="0" w:before="0" w:line="240" w:lineRule="auto"/>
              <w:ind w:left="115" w:right="39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Кандидатите, подали офертите или техни упълномощени представители (след представяне на нотариално заверени пълномощни) могат да присъстват при отваряне на постъпилите пликове и проверяване на съответствието на офертите със списъка на документите, съдържащи се в офертата. След това те ще бъдат помолени да напуснат заседанието на оценителната комисия.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55"/>
              </w:tabs>
              <w:spacing w:after="0" w:before="1" w:line="264" w:lineRule="auto"/>
              <w:ind w:left="355" w:right="0" w:hanging="24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Наблюдатели/представители на УО.</w:t>
            </w:r>
          </w:p>
        </w:tc>
      </w:tr>
    </w:tbl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spacing w:before="149" w:line="259" w:lineRule="auto"/>
        <w:ind w:left="116" w:right="384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РАЗДЕЛ V: СПИСЪК НА ДОКУМЕНТИТЕ, КОИТО СЛЕДВА ДА СЪДЪРЖАТ ОФЕРТИТЕ ЗА УЧАСТИЕ</w:t>
      </w:r>
    </w:p>
    <w:p w:rsidR="00000000" w:rsidDel="00000000" w:rsidP="00000000" w:rsidRDefault="00000000" w:rsidRPr="00000000" w14:paraId="0000013E">
      <w:pPr>
        <w:spacing w:line="259" w:lineRule="auto"/>
        <w:ind w:left="116" w:right="82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А. Документи, удостоверяващи правния статус на кандидата по т.ІІІ.2.1. от настоящата публична покана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(Важно: документите, посочени в тази точка трябва да съответстват на тези, изброени в т.ІІІ.2.1.)</w:t>
      </w:r>
      <w:r w:rsidDel="00000000" w:rsidR="00000000" w:rsidRPr="00000000">
        <w:rPr>
          <w:b w:val="1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2" w:lineRule="auto"/>
        <w:ind w:left="1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Декларация с посочване на ЕИК/Удостоверение за актуално състояние, а когато е физическо лице - документ за самоличност. В случай, че кандидатът е чуждестранно юридическо лице, се прилагат аналогични на посочените изискуеми официални документи от съответната страна.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16" w:right="45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Когато в съответната чужда държава не се издават документите по т.1, кандидатът представя клетвена декларация, ако такава декларация има правно значение според закона на държавата, в която е установен или регистриран.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 обединения, които не са юридически лица: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" w:line="259" w:lineRule="auto"/>
        <w:ind w:left="116" w:right="146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Договор за създаване на обединение (оригинал или нотариално заверено копие), в който задължително се посочва представляващия/те;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1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" w:line="259" w:lineRule="auto"/>
        <w:ind w:left="116" w:right="138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Удостоверение за регистрация по ЕИК – копие, подпис, печат и “Вярно с оригинала” (ако обединението вече е вписано в регистър БУЛСТАТ)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ИЛИ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" w:line="259" w:lineRule="auto"/>
        <w:ind w:left="116" w:right="145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Договор за създаване на обединение (оригинал или нотариално заверено копие), в който задължително се посочва представляващия/те;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59" w:lineRule="auto"/>
        <w:ind w:left="116" w:right="98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Забележка: В случай, че обединение, което не е юридическо лице, не е вписано в регистър Булстат и същото това обединение бъде избрано за изпълнител,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16" w:right="68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то следва да се впише в Регистър БУЛСТАТ, т.е. да се представи удостоверение за регистрация по ЕИК при подписване на договор за изпълнение.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Декларация по чл. 12, ал. 1, т. 1 от ПМС № 160/01.07.2016 г.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57"/>
        </w:tabs>
        <w:spacing w:after="0" w:before="2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Декларация по чл. 53 от ЗУСЕСИФ;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57"/>
        </w:tabs>
        <w:spacing w:after="0" w:before="22" w:line="259" w:lineRule="auto"/>
        <w:ind w:left="0" w:right="27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Декларация за подизпълнителите, които ще участват в изпълнението на предмета на процедурата и дела на тяхното участие (ако кандидатът е декларирал, че ще ползва подизпълнители);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57"/>
        </w:tabs>
        <w:spacing w:after="0" w:before="0" w:line="259" w:lineRule="auto"/>
        <w:ind w:left="0" w:right="115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Документи по т. 1, 2, 3 и 4 за всеки от подизпълнителите в съответствие с Постановление № 160 на Министерския съвет от 2016 г. (когато се предвижда участието на подизпълнители);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57"/>
        </w:tabs>
        <w:spacing w:after="0" w:before="0" w:line="259" w:lineRule="auto"/>
        <w:ind w:left="0" w:right="40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Подробна техническа спецификация (под формата на брошура, продуктов каталог или друг подходящ документ, от който да са видни техническите характеристики);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57"/>
        </w:tabs>
        <w:spacing w:after="0" w:before="0" w:line="259" w:lineRule="auto"/>
        <w:ind w:left="0" w:right="124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Други документи и доказателства, изискани и посочени от бенефициента в документацията за участие.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16" w:right="145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случай, че офертите за тръжната процедура се представят и подписват от лице, различно от управляващия кандидата по регистрация се изисква: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20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Нотариално заверено пълномощно или нотариално заверен препис на пълномощното. (За чуждестранни кандидати - съответен еквивалентен документ, издаден от</w:t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1" w:lineRule="auto"/>
        <w:ind w:left="116" w:right="162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съответен съдебен или административен орган в държавата, в която са установени, които се придружават от превод на български език).</w:t>
      </w:r>
    </w:p>
    <w:p w:rsidR="00000000" w:rsidDel="00000000" w:rsidP="00000000" w:rsidRDefault="00000000" w:rsidRPr="00000000" w14:paraId="00000152">
      <w:pPr>
        <w:spacing w:line="259" w:lineRule="auto"/>
        <w:ind w:left="116" w:right="176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Б. Документи, доказващи икономическото и финансовото състояние на кандидата по т. ІІІ.2.2 от настоящата публична покана (Важно: документите, посочени в тази точка, трябва да съответстват на тези, изброени в т.ІІІ.2.2.):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0" w:lineRule="auto"/>
        <w:ind w:left="116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10" w:orient="portrait"/>
          <w:pgMar w:bottom="1600" w:top="1980" w:left="1300" w:right="1300" w:header="785" w:footer="14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Заверени с подпис, печат и текст ''Вярно с оригинала'' копия на отчети за приходи и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разходи за последните три приключени финансови години, в зависимост от датата, на която кандидатът е учреден или е започнал дейността си.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1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случай че участникът е публикувал финансовите си отчети по партидата на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" w:line="259" w:lineRule="auto"/>
        <w:ind w:left="116" w:right="39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дружеството в Търговски регистър, представянето на отчетите, не е необходимо. Ако участникът е обединение, състоящо се от юридически и/или физически лица, горепосочените документи се представят от лицето/лицата, с което/които кандидатът доказва заложеното изискване.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" w:line="259" w:lineRule="auto"/>
        <w:ind w:left="116" w:right="392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spacing w:before="5" w:line="259" w:lineRule="auto"/>
        <w:ind w:left="116" w:right="362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В. Документи, доказващи, техническите възможности и/или квалификацията на кандидата по т.ІІІ.2.3 от настоящата публична покана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(Важно: документите, посочени в тази точка, трябва да съответстват на тези, изброени в т.ІІІ.2.3.)</w:t>
      </w:r>
      <w:r w:rsidDel="00000000" w:rsidR="00000000" w:rsidRPr="00000000">
        <w:rPr>
          <w:b w:val="1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16" w:right="20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Списък на изпълнените услуги, които са еднакви или сходни с предмета на поръчката, за последните 3 години от датата на подаване на офертата в зависимост от датата, на която кандидатът е учреден или е започнал дейността си, включително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16" w:right="19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стойностите, датите и получателите. Всички документи, които са копия, и за които не е посочено, че се представят в оригинал, следва да бъдат заверени от кандидата с „Вярно с оригинала”, подпис и печат.</w:t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16" w:right="39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Ако кандидатът е обединение, състоящо се от юридически и/или физически лица, горепосочените документи се представят от лицето/лицата, с което/които кандидатът доказва заложеното изискване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16" w:right="393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ind w:left="11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Г. Други изискуеми от кандидата документи: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57"/>
        </w:tabs>
        <w:spacing w:after="0" w:afterAutospacing="0" w:before="15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Оферта;</w: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57"/>
        </w:tabs>
        <w:spacing w:after="0" w:before="0" w:beforeAutospacing="0" w:line="259" w:lineRule="auto"/>
        <w:ind w:left="720" w:right="276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Декларация за подизпълнителите, които ще участват в изпълнението на предмета на процедурата и дела на тяхното участие (ако кандидатът е декларирал, че ще ползва подизпълнители);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88"/>
        </w:tabs>
        <w:spacing w:after="0" w:afterAutospacing="0" w:before="0" w:line="275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Документи по т.А.1, А.2, Б, В за подизпълнителите;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88"/>
        </w:tabs>
        <w:spacing w:after="0" w:afterAutospacing="0" w:before="0" w:beforeAutospacing="0" w:line="259" w:lineRule="auto"/>
        <w:ind w:left="720" w:right="376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Подробна техническа спецификация (под формата на брошура, продуктов каталог или друг подходящ документ, от който да са видни техническите характеристики);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77"/>
        </w:tabs>
        <w:spacing w:after="0" w:before="0" w:beforeAutospacing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Други документи и доказателства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(посочват се от бенефициента)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" w:line="259" w:lineRule="auto"/>
        <w:ind w:left="720" w:right="227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" w:line="259" w:lineRule="auto"/>
        <w:ind w:left="0" w:right="22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случай че офертите за тръжната процедура/документация и/или приложенията към тях се подписват от лице, различно от лицето/та с право да представляват кандидата се изисква: - Нотариално заверено пълномощно или нотариален заверен препис на пълномощното, в което задължително трябва да бъде посочено оправомощаването на лицето да представя и подписва оферта/и от името на законния представител на</w:t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1" w:lineRule="auto"/>
        <w:ind w:left="0" w:right="38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кандидата, както и за какъв период от време са в сила тези негови правомощия. Бенефициентът изисква периода на правомощията да бъде минимум – датата на обявения краен срок за представяне на офертите по процедурата, удължен с 6 месеца. </w:t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1" w:lineRule="auto"/>
        <w:ind w:left="116" w:right="384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1" w:lineRule="auto"/>
        <w:ind w:left="116" w:right="384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1" w:lineRule="auto"/>
        <w:ind w:left="116" w:right="384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1" w:lineRule="auto"/>
        <w:ind w:left="116" w:right="384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1" w:lineRule="auto"/>
        <w:ind w:left="116" w:right="384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РАЗДЕЛ VІІI: ДРУГА ИНФОРМАЦИЯ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57"/>
        </w:tabs>
        <w:spacing w:after="0" w:before="0" w:line="259" w:lineRule="auto"/>
        <w:ind w:left="720" w:right="469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4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в 3-дневен срок от датата на постъпване на искането.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57"/>
        </w:tabs>
        <w:spacing w:after="0" w:before="0" w:line="259" w:lineRule="auto"/>
        <w:ind w:left="720" w:right="469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Разясненията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се публикуват в Информационната система за управление и наблюдение на средствата от ЕС в България 2020.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57"/>
        </w:tabs>
        <w:spacing w:after="0" w:before="0" w:line="259" w:lineRule="auto"/>
        <w:ind w:left="720" w:right="469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Възложителят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sectPr>
      <w:type w:val="nextPage"/>
      <w:pgSz w:h="16840" w:w="11910" w:orient="portrait"/>
      <w:pgMar w:bottom="1600" w:top="1980" w:left="1300" w:right="1300" w:header="785" w:footer="14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 Unicode MS"/>
  <w:font w:name="Calibri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A">
    <w:pPr>
      <w:spacing w:before="1" w:line="256" w:lineRule="auto"/>
      <w:ind w:left="116" w:right="1620" w:firstLine="0"/>
      <w:rPr>
        <w:b w:val="1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5829300</wp:posOffset>
              </wp:positionH>
              <wp:positionV relativeFrom="paragraph">
                <wp:posOffset>9906000</wp:posOffset>
              </wp:positionV>
              <wp:extent cx="156845" cy="175260"/>
              <wp:effectExtent b="0" l="0" r="0" t="0"/>
              <wp:wrapNone/>
              <wp:docPr id="25" name=""/>
              <a:graphic>
                <a:graphicData uri="http://schemas.microsoft.com/office/word/2010/wordprocessingShape">
                  <wps:wsp>
                    <wps:cNvSpPr/>
                    <wps:cNvPr id="7" name="Shape 7"/>
                    <wps:spPr>
                      <a:xfrm>
                        <a:off x="6097840" y="3697133"/>
                        <a:ext cx="147320" cy="165735"/>
                      </a:xfrm>
                      <a:custGeom>
                        <a:rect b="b" l="l" r="r" t="t"/>
                        <a:pathLst>
                          <a:path extrusionOk="0" h="165735" w="147320">
                            <a:moveTo>
                              <a:pt x="0" y="0"/>
                            </a:moveTo>
                            <a:lnTo>
                              <a:pt x="0" y="165735"/>
                            </a:lnTo>
                            <a:lnTo>
                              <a:pt x="147320" y="165735"/>
                            </a:lnTo>
                            <a:lnTo>
                              <a:pt x="14732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5.00000953674316"/>
                            <w:ind w:left="60" w:right="0" w:firstLine="6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3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5829300</wp:posOffset>
              </wp:positionH>
              <wp:positionV relativeFrom="paragraph">
                <wp:posOffset>9906000</wp:posOffset>
              </wp:positionV>
              <wp:extent cx="156845" cy="175260"/>
              <wp:effectExtent b="0" l="0" r="0" t="0"/>
              <wp:wrapNone/>
              <wp:docPr id="25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6845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304800</wp:posOffset>
              </wp:positionH>
              <wp:positionV relativeFrom="paragraph">
                <wp:posOffset>9613900</wp:posOffset>
              </wp:positionV>
              <wp:extent cx="5566410" cy="294640"/>
              <wp:effectExtent b="0" l="0" r="0" t="0"/>
              <wp:wrapNone/>
              <wp:docPr id="21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3393058" y="3637443"/>
                        <a:ext cx="5556885" cy="285115"/>
                      </a:xfrm>
                      <a:custGeom>
                        <a:rect b="b" l="l" r="r" t="t"/>
                        <a:pathLst>
                          <a:path extrusionOk="0" h="285115" w="5556885">
                            <a:moveTo>
                              <a:pt x="0" y="0"/>
                            </a:moveTo>
                            <a:lnTo>
                              <a:pt x="0" y="285115"/>
                            </a:lnTo>
                            <a:lnTo>
                              <a:pt x="5556885" y="285115"/>
                            </a:lnTo>
                            <a:lnTo>
                              <a:pt x="555688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12.000000476837158" w:line="240"/>
                            <w:ind w:left="660" w:right="5" w:firstLine="18.99999976158142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304800</wp:posOffset>
              </wp:positionH>
              <wp:positionV relativeFrom="paragraph">
                <wp:posOffset>9613900</wp:posOffset>
              </wp:positionV>
              <wp:extent cx="5566410" cy="294640"/>
              <wp:effectExtent b="0" l="0" r="0" t="0"/>
              <wp:wrapNone/>
              <wp:docPr id="2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66410" cy="2946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165100</wp:posOffset>
              </wp:positionH>
              <wp:positionV relativeFrom="paragraph">
                <wp:posOffset>9613900</wp:posOffset>
              </wp:positionV>
              <wp:extent cx="5835015" cy="12700"/>
              <wp:effectExtent b="0" l="0" r="0" t="0"/>
              <wp:wrapNone/>
              <wp:docPr id="22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3253993" y="3776825"/>
                        <a:ext cx="583501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165100</wp:posOffset>
              </wp:positionH>
              <wp:positionV relativeFrom="paragraph">
                <wp:posOffset>9613900</wp:posOffset>
              </wp:positionV>
              <wp:extent cx="5835015" cy="12700"/>
              <wp:effectExtent b="0" l="0" r="0" t="0"/>
              <wp:wrapNone/>
              <wp:docPr id="2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3501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18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b w:val="1"/>
        <w:sz w:val="24"/>
        <w:szCs w:val="2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5829300</wp:posOffset>
              </wp:positionH>
              <wp:positionV relativeFrom="paragraph">
                <wp:posOffset>9906000</wp:posOffset>
              </wp:positionV>
              <wp:extent cx="156845" cy="175260"/>
              <wp:effectExtent b="0" l="0" r="0" t="0"/>
              <wp:wrapNone/>
              <wp:docPr id="28" name=""/>
              <a:graphic>
                <a:graphicData uri="http://schemas.microsoft.com/office/word/2010/wordprocessingShape">
                  <wps:wsp>
                    <wps:cNvSpPr/>
                    <wps:cNvPr id="12" name="Shape 12"/>
                    <wps:spPr>
                      <a:xfrm>
                        <a:off x="6097840" y="3697133"/>
                        <a:ext cx="147320" cy="165735"/>
                      </a:xfrm>
                      <a:custGeom>
                        <a:rect b="b" l="l" r="r" t="t"/>
                        <a:pathLst>
                          <a:path extrusionOk="0" h="165735" w="147320">
                            <a:moveTo>
                              <a:pt x="0" y="0"/>
                            </a:moveTo>
                            <a:lnTo>
                              <a:pt x="0" y="165735"/>
                            </a:lnTo>
                            <a:lnTo>
                              <a:pt x="147320" y="165735"/>
                            </a:lnTo>
                            <a:lnTo>
                              <a:pt x="14732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5.00000953674316"/>
                            <w:ind w:left="60" w:right="0" w:firstLine="6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6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5829300</wp:posOffset>
              </wp:positionH>
              <wp:positionV relativeFrom="paragraph">
                <wp:posOffset>9906000</wp:posOffset>
              </wp:positionV>
              <wp:extent cx="156845" cy="175260"/>
              <wp:effectExtent b="0" l="0" r="0" t="0"/>
              <wp:wrapNone/>
              <wp:docPr id="28" name="image11.png"/>
              <a:graphic>
                <a:graphicData uri="http://schemas.openxmlformats.org/drawingml/2006/picture">
                  <pic:pic>
                    <pic:nvPicPr>
                      <pic:cNvPr id="0" name="image1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6845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304800</wp:posOffset>
              </wp:positionH>
              <wp:positionV relativeFrom="paragraph">
                <wp:posOffset>9613900</wp:posOffset>
              </wp:positionV>
              <wp:extent cx="5566410" cy="294640"/>
              <wp:effectExtent b="0" l="0" r="0" t="0"/>
              <wp:wrapNone/>
              <wp:docPr id="20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393058" y="3637443"/>
                        <a:ext cx="5556885" cy="285115"/>
                      </a:xfrm>
                      <a:custGeom>
                        <a:rect b="b" l="l" r="r" t="t"/>
                        <a:pathLst>
                          <a:path extrusionOk="0" h="285115" w="5556885">
                            <a:moveTo>
                              <a:pt x="0" y="0"/>
                            </a:moveTo>
                            <a:lnTo>
                              <a:pt x="0" y="285115"/>
                            </a:lnTo>
                            <a:lnTo>
                              <a:pt x="5556885" y="285115"/>
                            </a:lnTo>
                            <a:lnTo>
                              <a:pt x="555688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12.000000476837158" w:line="240"/>
                            <w:ind w:left="660" w:right="5" w:firstLine="18.99999976158142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304800</wp:posOffset>
              </wp:positionH>
              <wp:positionV relativeFrom="paragraph">
                <wp:posOffset>9613900</wp:posOffset>
              </wp:positionV>
              <wp:extent cx="5566410" cy="294640"/>
              <wp:effectExtent b="0" l="0" r="0" t="0"/>
              <wp:wrapNone/>
              <wp:docPr id="20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66410" cy="2946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165100</wp:posOffset>
              </wp:positionH>
              <wp:positionV relativeFrom="paragraph">
                <wp:posOffset>9613900</wp:posOffset>
              </wp:positionV>
              <wp:extent cx="5835015" cy="12700"/>
              <wp:effectExtent b="0" l="0" r="0" t="0"/>
              <wp:wrapNone/>
              <wp:docPr id="27" name=""/>
              <a:graphic>
                <a:graphicData uri="http://schemas.microsoft.com/office/word/2010/wordprocessingShape">
                  <wps:wsp>
                    <wps:cNvSpPr/>
                    <wps:cNvPr id="11" name="Shape 11"/>
                    <wps:spPr>
                      <a:xfrm>
                        <a:off x="3253993" y="3776825"/>
                        <a:ext cx="583501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165100</wp:posOffset>
              </wp:positionH>
              <wp:positionV relativeFrom="paragraph">
                <wp:posOffset>9613900</wp:posOffset>
              </wp:positionV>
              <wp:extent cx="5835015" cy="12700"/>
              <wp:effectExtent b="0" l="0" r="0" t="0"/>
              <wp:wrapNone/>
              <wp:docPr id="27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3501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304800</wp:posOffset>
              </wp:positionH>
              <wp:positionV relativeFrom="paragraph">
                <wp:posOffset>9613900</wp:posOffset>
              </wp:positionV>
              <wp:extent cx="5689600" cy="462915"/>
              <wp:effectExtent b="0" l="0" r="0" t="0"/>
              <wp:wrapNone/>
              <wp:docPr id="23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3331463" y="3553305"/>
                        <a:ext cx="5680075" cy="453390"/>
                      </a:xfrm>
                      <a:custGeom>
                        <a:rect b="b" l="l" r="r" t="t"/>
                        <a:pathLst>
                          <a:path extrusionOk="0" h="453390" w="5680075">
                            <a:moveTo>
                              <a:pt x="0" y="0"/>
                            </a:moveTo>
                            <a:lnTo>
                              <a:pt x="0" y="453390"/>
                            </a:lnTo>
                            <a:lnTo>
                              <a:pt x="5680075" y="453390"/>
                            </a:lnTo>
                            <a:lnTo>
                              <a:pt x="568007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12.000000476837158" w:line="240"/>
                            <w:ind w:left="660" w:right="198.99999618530273" w:firstLine="18.99999976158142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3.0000001192092896" w:line="240"/>
                            <w:ind w:left="0" w:right="59.000000953674316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12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304800</wp:posOffset>
              </wp:positionH>
              <wp:positionV relativeFrom="paragraph">
                <wp:posOffset>9613900</wp:posOffset>
              </wp:positionV>
              <wp:extent cx="5689600" cy="462915"/>
              <wp:effectExtent b="0" l="0" r="0" t="0"/>
              <wp:wrapNone/>
              <wp:docPr id="2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89600" cy="46291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165100</wp:posOffset>
              </wp:positionH>
              <wp:positionV relativeFrom="paragraph">
                <wp:posOffset>9613900</wp:posOffset>
              </wp:positionV>
              <wp:extent cx="5835015" cy="12700"/>
              <wp:effectExtent b="0" l="0" r="0" t="0"/>
              <wp:wrapNone/>
              <wp:docPr id="24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3253993" y="3776825"/>
                        <a:ext cx="583501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165100</wp:posOffset>
              </wp:positionH>
              <wp:positionV relativeFrom="paragraph">
                <wp:posOffset>9613900</wp:posOffset>
              </wp:positionV>
              <wp:extent cx="5835015" cy="12700"/>
              <wp:effectExtent b="0" l="0" r="0" t="0"/>
              <wp:wrapNone/>
              <wp:docPr id="24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3501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6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                 </w:t>
    </w:r>
  </w:p>
  <w:p w:rsidR="00000000" w:rsidDel="00000000" w:rsidP="00000000" w:rsidRDefault="00000000" w:rsidRPr="00000000" w14:paraId="0000017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4276725</wp:posOffset>
          </wp:positionH>
          <wp:positionV relativeFrom="paragraph">
            <wp:posOffset>0</wp:posOffset>
          </wp:positionV>
          <wp:extent cx="1726384" cy="561841"/>
          <wp:effectExtent b="0" l="0" r="0" t="0"/>
          <wp:wrapNone/>
          <wp:docPr id="29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26384" cy="56184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7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161925</wp:posOffset>
          </wp:positionH>
          <wp:positionV relativeFrom="paragraph">
            <wp:posOffset>10329</wp:posOffset>
          </wp:positionV>
          <wp:extent cx="1610044" cy="455160"/>
          <wp:effectExtent b="0" l="0" r="0" t="0"/>
          <wp:wrapNone/>
          <wp:docPr id="3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10044" cy="4551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7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15" w:hanging="24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985" w:hanging="240"/>
      </w:pPr>
      <w:rPr/>
    </w:lvl>
    <w:lvl w:ilvl="2">
      <w:start w:val="0"/>
      <w:numFmt w:val="bullet"/>
      <w:lvlText w:val="•"/>
      <w:lvlJc w:val="left"/>
      <w:pPr>
        <w:ind w:left="1851" w:hanging="240"/>
      </w:pPr>
      <w:rPr/>
    </w:lvl>
    <w:lvl w:ilvl="3">
      <w:start w:val="0"/>
      <w:numFmt w:val="bullet"/>
      <w:lvlText w:val="•"/>
      <w:lvlJc w:val="left"/>
      <w:pPr>
        <w:ind w:left="2716" w:hanging="240"/>
      </w:pPr>
      <w:rPr/>
    </w:lvl>
    <w:lvl w:ilvl="4">
      <w:start w:val="0"/>
      <w:numFmt w:val="bullet"/>
      <w:lvlText w:val="•"/>
      <w:lvlJc w:val="left"/>
      <w:pPr>
        <w:ind w:left="3582" w:hanging="240"/>
      </w:pPr>
      <w:rPr/>
    </w:lvl>
    <w:lvl w:ilvl="5">
      <w:start w:val="0"/>
      <w:numFmt w:val="bullet"/>
      <w:lvlText w:val="•"/>
      <w:lvlJc w:val="left"/>
      <w:pPr>
        <w:ind w:left="4448" w:hanging="240"/>
      </w:pPr>
      <w:rPr/>
    </w:lvl>
    <w:lvl w:ilvl="6">
      <w:start w:val="0"/>
      <w:numFmt w:val="bullet"/>
      <w:lvlText w:val="•"/>
      <w:lvlJc w:val="left"/>
      <w:pPr>
        <w:ind w:left="5313" w:hanging="240"/>
      </w:pPr>
      <w:rPr/>
    </w:lvl>
    <w:lvl w:ilvl="7">
      <w:start w:val="0"/>
      <w:numFmt w:val="bullet"/>
      <w:lvlText w:val="•"/>
      <w:lvlJc w:val="left"/>
      <w:pPr>
        <w:ind w:left="6179" w:hanging="240"/>
      </w:pPr>
      <w:rPr/>
    </w:lvl>
    <w:lvl w:ilvl="8">
      <w:start w:val="0"/>
      <w:numFmt w:val="bullet"/>
      <w:lvlText w:val="•"/>
      <w:lvlJc w:val="left"/>
      <w:pPr>
        <w:ind w:left="7044" w:hanging="24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451" w:hanging="336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291" w:hanging="336"/>
      </w:pPr>
      <w:rPr/>
    </w:lvl>
    <w:lvl w:ilvl="2">
      <w:start w:val="0"/>
      <w:numFmt w:val="bullet"/>
      <w:lvlText w:val="•"/>
      <w:lvlJc w:val="left"/>
      <w:pPr>
        <w:ind w:left="2123" w:hanging="335.9999999999998"/>
      </w:pPr>
      <w:rPr/>
    </w:lvl>
    <w:lvl w:ilvl="3">
      <w:start w:val="0"/>
      <w:numFmt w:val="bullet"/>
      <w:lvlText w:val="•"/>
      <w:lvlJc w:val="left"/>
      <w:pPr>
        <w:ind w:left="2954" w:hanging="336.00000000000045"/>
      </w:pPr>
      <w:rPr/>
    </w:lvl>
    <w:lvl w:ilvl="4">
      <w:start w:val="0"/>
      <w:numFmt w:val="bullet"/>
      <w:lvlText w:val="•"/>
      <w:lvlJc w:val="left"/>
      <w:pPr>
        <w:ind w:left="3786" w:hanging="336"/>
      </w:pPr>
      <w:rPr/>
    </w:lvl>
    <w:lvl w:ilvl="5">
      <w:start w:val="0"/>
      <w:numFmt w:val="bullet"/>
      <w:lvlText w:val="•"/>
      <w:lvlJc w:val="left"/>
      <w:pPr>
        <w:ind w:left="4618" w:hanging="336"/>
      </w:pPr>
      <w:rPr/>
    </w:lvl>
    <w:lvl w:ilvl="6">
      <w:start w:val="0"/>
      <w:numFmt w:val="bullet"/>
      <w:lvlText w:val="•"/>
      <w:lvlJc w:val="left"/>
      <w:pPr>
        <w:ind w:left="5449" w:hanging="336"/>
      </w:pPr>
      <w:rPr/>
    </w:lvl>
    <w:lvl w:ilvl="7">
      <w:start w:val="0"/>
      <w:numFmt w:val="bullet"/>
      <w:lvlText w:val="•"/>
      <w:lvlJc w:val="left"/>
      <w:pPr>
        <w:ind w:left="6281" w:hanging="336"/>
      </w:pPr>
      <w:rPr/>
    </w:lvl>
    <w:lvl w:ilvl="8">
      <w:start w:val="0"/>
      <w:numFmt w:val="bullet"/>
      <w:lvlText w:val="•"/>
      <w:lvlJc w:val="left"/>
      <w:pPr>
        <w:ind w:left="7112" w:hanging="336"/>
      </w:pPr>
      <w:rPr/>
    </w:lvl>
  </w:abstractNum>
  <w:abstractNum w:abstractNumId="3">
    <w:lvl w:ilvl="0">
      <w:start w:val="3"/>
      <w:numFmt w:val="decimal"/>
      <w:lvlText w:val="%1."/>
      <w:lvlJc w:val="left"/>
      <w:pPr>
        <w:ind w:left="355" w:hanging="24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229" w:hanging="240"/>
      </w:pPr>
      <w:rPr/>
    </w:lvl>
    <w:lvl w:ilvl="2">
      <w:start w:val="0"/>
      <w:numFmt w:val="bullet"/>
      <w:lvlText w:val="•"/>
      <w:lvlJc w:val="left"/>
      <w:pPr>
        <w:ind w:left="2099" w:hanging="240"/>
      </w:pPr>
      <w:rPr/>
    </w:lvl>
    <w:lvl w:ilvl="3">
      <w:start w:val="0"/>
      <w:numFmt w:val="bullet"/>
      <w:lvlText w:val="•"/>
      <w:lvlJc w:val="left"/>
      <w:pPr>
        <w:ind w:left="2969" w:hanging="240"/>
      </w:pPr>
      <w:rPr/>
    </w:lvl>
    <w:lvl w:ilvl="4">
      <w:start w:val="0"/>
      <w:numFmt w:val="bullet"/>
      <w:lvlText w:val="•"/>
      <w:lvlJc w:val="left"/>
      <w:pPr>
        <w:ind w:left="3839" w:hanging="240"/>
      </w:pPr>
      <w:rPr/>
    </w:lvl>
    <w:lvl w:ilvl="5">
      <w:start w:val="0"/>
      <w:numFmt w:val="bullet"/>
      <w:lvlText w:val="•"/>
      <w:lvlJc w:val="left"/>
      <w:pPr>
        <w:ind w:left="4709" w:hanging="240"/>
      </w:pPr>
      <w:rPr/>
    </w:lvl>
    <w:lvl w:ilvl="6">
      <w:start w:val="0"/>
      <w:numFmt w:val="bullet"/>
      <w:lvlText w:val="•"/>
      <w:lvlJc w:val="left"/>
      <w:pPr>
        <w:ind w:left="5579" w:hanging="240"/>
      </w:pPr>
      <w:rPr/>
    </w:lvl>
    <w:lvl w:ilvl="7">
      <w:start w:val="0"/>
      <w:numFmt w:val="bullet"/>
      <w:lvlText w:val="•"/>
      <w:lvlJc w:val="left"/>
      <w:pPr>
        <w:ind w:left="6449" w:hanging="240"/>
      </w:pPr>
      <w:rPr/>
    </w:lvl>
    <w:lvl w:ilvl="8">
      <w:start w:val="0"/>
      <w:numFmt w:val="bullet"/>
      <w:lvlText w:val="•"/>
      <w:lvlJc w:val="left"/>
      <w:pPr>
        <w:ind w:left="7319" w:hanging="240"/>
      </w:pPr>
      <w:rPr/>
    </w:lvl>
  </w:abstractNum>
  <w:abstractNum w:abstractNumId="4">
    <w:lvl w:ilvl="0">
      <w:start w:val="1"/>
      <w:numFmt w:val="upperRoman"/>
      <w:lvlText w:val="%1"/>
      <w:lvlJc w:val="left"/>
      <w:pPr>
        <w:ind w:left="529" w:hanging="414"/>
      </w:pPr>
      <w:rPr/>
    </w:lvl>
    <w:lvl w:ilvl="1">
      <w:start w:val="1"/>
      <w:numFmt w:val="decimal"/>
      <w:lvlText w:val="%1.%2)"/>
      <w:lvlJc w:val="left"/>
      <w:pPr>
        <w:ind w:left="529" w:hanging="414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2">
      <w:start w:val="0"/>
      <w:numFmt w:val="bullet"/>
      <w:lvlText w:val="•"/>
      <w:lvlJc w:val="left"/>
      <w:pPr>
        <w:ind w:left="2277" w:hanging="414.0000000000002"/>
      </w:pPr>
      <w:rPr/>
    </w:lvl>
    <w:lvl w:ilvl="3">
      <w:start w:val="0"/>
      <w:numFmt w:val="bullet"/>
      <w:lvlText w:val="•"/>
      <w:lvlJc w:val="left"/>
      <w:pPr>
        <w:ind w:left="3155" w:hanging="414"/>
      </w:pPr>
      <w:rPr/>
    </w:lvl>
    <w:lvl w:ilvl="4">
      <w:start w:val="0"/>
      <w:numFmt w:val="bullet"/>
      <w:lvlText w:val="•"/>
      <w:lvlJc w:val="left"/>
      <w:pPr>
        <w:ind w:left="4034" w:hanging="414"/>
      </w:pPr>
      <w:rPr/>
    </w:lvl>
    <w:lvl w:ilvl="5">
      <w:start w:val="0"/>
      <w:numFmt w:val="bullet"/>
      <w:lvlText w:val="•"/>
      <w:lvlJc w:val="left"/>
      <w:pPr>
        <w:ind w:left="4913" w:hanging="414"/>
      </w:pPr>
      <w:rPr/>
    </w:lvl>
    <w:lvl w:ilvl="6">
      <w:start w:val="0"/>
      <w:numFmt w:val="bullet"/>
      <w:lvlText w:val="•"/>
      <w:lvlJc w:val="left"/>
      <w:pPr>
        <w:ind w:left="5791" w:hanging="414"/>
      </w:pPr>
      <w:rPr/>
    </w:lvl>
    <w:lvl w:ilvl="7">
      <w:start w:val="0"/>
      <w:numFmt w:val="bullet"/>
      <w:lvlText w:val="•"/>
      <w:lvlJc w:val="left"/>
      <w:pPr>
        <w:ind w:left="6670" w:hanging="414"/>
      </w:pPr>
      <w:rPr/>
    </w:lvl>
    <w:lvl w:ilvl="8">
      <w:start w:val="0"/>
      <w:numFmt w:val="bullet"/>
      <w:lvlText w:val="•"/>
      <w:lvlJc w:val="left"/>
      <w:pPr>
        <w:ind w:left="7549" w:hanging="414"/>
      </w:pPr>
      <w:rPr/>
    </w:lvl>
  </w:abstractNum>
  <w:abstractNum w:abstractNumId="5">
    <w:lvl w:ilvl="0">
      <w:start w:val="0"/>
      <w:numFmt w:val="bullet"/>
      <w:lvlText w:val="-"/>
      <w:lvlJc w:val="left"/>
      <w:pPr>
        <w:ind w:left="115" w:hanging="14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013" w:hanging="140"/>
      </w:pPr>
      <w:rPr/>
    </w:lvl>
    <w:lvl w:ilvl="2">
      <w:start w:val="0"/>
      <w:numFmt w:val="bullet"/>
      <w:lvlText w:val="•"/>
      <w:lvlJc w:val="left"/>
      <w:pPr>
        <w:ind w:left="1907" w:hanging="140"/>
      </w:pPr>
      <w:rPr/>
    </w:lvl>
    <w:lvl w:ilvl="3">
      <w:start w:val="0"/>
      <w:numFmt w:val="bullet"/>
      <w:lvlText w:val="•"/>
      <w:lvlJc w:val="left"/>
      <w:pPr>
        <w:ind w:left="2801" w:hanging="140"/>
      </w:pPr>
      <w:rPr/>
    </w:lvl>
    <w:lvl w:ilvl="4">
      <w:start w:val="0"/>
      <w:numFmt w:val="bullet"/>
      <w:lvlText w:val="•"/>
      <w:lvlJc w:val="left"/>
      <w:pPr>
        <w:ind w:left="3695" w:hanging="140"/>
      </w:pPr>
      <w:rPr/>
    </w:lvl>
    <w:lvl w:ilvl="5">
      <w:start w:val="0"/>
      <w:numFmt w:val="bullet"/>
      <w:lvlText w:val="•"/>
      <w:lvlJc w:val="left"/>
      <w:pPr>
        <w:ind w:left="4589" w:hanging="140"/>
      </w:pPr>
      <w:rPr/>
    </w:lvl>
    <w:lvl w:ilvl="6">
      <w:start w:val="0"/>
      <w:numFmt w:val="bullet"/>
      <w:lvlText w:val="•"/>
      <w:lvlJc w:val="left"/>
      <w:pPr>
        <w:ind w:left="5483" w:hanging="140"/>
      </w:pPr>
      <w:rPr/>
    </w:lvl>
    <w:lvl w:ilvl="7">
      <w:start w:val="0"/>
      <w:numFmt w:val="bullet"/>
      <w:lvlText w:val="•"/>
      <w:lvlJc w:val="left"/>
      <w:pPr>
        <w:ind w:left="6377" w:hanging="140"/>
      </w:pPr>
      <w:rPr/>
    </w:lvl>
    <w:lvl w:ilvl="8">
      <w:start w:val="0"/>
      <w:numFmt w:val="bullet"/>
      <w:lvlText w:val="•"/>
      <w:lvlJc w:val="left"/>
      <w:pPr>
        <w:ind w:left="7271" w:hanging="14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bg-BG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Times New Roman" w:cs="Times New Roman" w:eastAsia="Times New Roman" w:hAnsi="Times New Roman"/>
      <w:lang w:val="bg-BG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16"/>
    </w:pPr>
  </w:style>
  <w:style w:type="paragraph" w:styleId="TableParagraph" w:customStyle="1">
    <w:name w:val="Table Paragraph"/>
    <w:basedOn w:val="Normal"/>
    <w:uiPriority w:val="1"/>
    <w:qFormat w:val="1"/>
    <w:pPr>
      <w:ind w:left="115"/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04BF7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04BF7"/>
    <w:rPr>
      <w:rFonts w:ascii="Tahoma" w:cs="Tahoma" w:eastAsia="Times New Roman" w:hAnsi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 w:val="1"/>
    <w:rsid w:val="00BD3D56"/>
    <w:pPr>
      <w:widowControl w:val="1"/>
      <w:tabs>
        <w:tab w:val="center" w:pos="4680"/>
        <w:tab w:val="right" w:pos="9360"/>
      </w:tabs>
      <w:autoSpaceDE w:val="1"/>
      <w:autoSpaceDN w:val="1"/>
    </w:pPr>
    <w:rPr>
      <w:rFonts w:ascii="Calibri" w:cs="Calibri" w:eastAsia="Calibri" w:hAnsi="Calibri"/>
      <w:lang w:eastAsia="bg-BG"/>
    </w:rPr>
  </w:style>
  <w:style w:type="character" w:styleId="HeaderChar" w:customStyle="1">
    <w:name w:val="Header Char"/>
    <w:basedOn w:val="DefaultParagraphFont"/>
    <w:link w:val="Header"/>
    <w:uiPriority w:val="99"/>
    <w:rsid w:val="00BD3D56"/>
    <w:rPr>
      <w:rFonts w:ascii="Calibri" w:cs="Calibri" w:eastAsia="Calibri" w:hAnsi="Calibri"/>
      <w:lang w:eastAsia="bg-BG" w:val="bg-BG"/>
    </w:rPr>
  </w:style>
  <w:style w:type="paragraph" w:styleId="NormalWeb">
    <w:name w:val="Normal (Web)"/>
    <w:basedOn w:val="Normal"/>
    <w:uiPriority w:val="99"/>
    <w:semiHidden w:val="1"/>
    <w:unhideWhenUsed w:val="1"/>
    <w:rsid w:val="00BF4274"/>
    <w:pPr>
      <w:widowControl w:val="1"/>
      <w:autoSpaceDE w:val="1"/>
      <w:autoSpaceDN w:val="1"/>
      <w:spacing w:after="100" w:afterAutospacing="1" w:before="100" w:beforeAutospacing="1"/>
    </w:pPr>
    <w:rPr>
      <w:sz w:val="24"/>
      <w:szCs w:val="24"/>
      <w:lang w:eastAsia="bg-BG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9.png"/><Relationship Id="rId10" Type="http://schemas.openxmlformats.org/officeDocument/2006/relationships/footer" Target="footer1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5" Type="http://schemas.openxmlformats.org/officeDocument/2006/relationships/hyperlink" Target="https://www.vfu.bg/%D0%BF%D1%80%D0%BE%D0%B5%D0%BA%D1%82%D0%B8/BG05M20P001-2.016-0025" TargetMode="External"/><Relationship Id="rId14" Type="http://schemas.openxmlformats.org/officeDocument/2006/relationships/hyperlink" Target="https://eumis2020.government.bg/bg/s/Offers/Index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vfu-projects@vfu.bg" TargetMode="External"/><Relationship Id="rId8" Type="http://schemas.openxmlformats.org/officeDocument/2006/relationships/hyperlink" Target="http://www.vfu.bg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4.png"/><Relationship Id="rId3" Type="http://schemas.openxmlformats.org/officeDocument/2006/relationships/image" Target="media/image5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1.png"/><Relationship Id="rId2" Type="http://schemas.openxmlformats.org/officeDocument/2006/relationships/image" Target="media/image3.png"/><Relationship Id="rId3" Type="http://schemas.openxmlformats.org/officeDocument/2006/relationships/image" Target="media/image10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7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/WcsCSG7DYhg2+qdcE3EhMy/Ug==">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2022-04-03T08:14:00Z</dcterms:created>
  <dc:creator>Kremena Hubcheva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2022-04-03T00:00:00Z</vt:filetime>
  </property>
</Properties>
</file>