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ТЕХНИЧЕСКО ПРЕДЛОЖЕНИЕ</w:t>
      </w:r>
    </w:p>
    <w:p w:rsidR="00000000" w:rsidDel="00000000" w:rsidP="00000000" w:rsidRDefault="00000000" w:rsidRPr="00000000" w14:paraId="00000004">
      <w:pPr>
        <w:ind w:firstLine="720"/>
        <w:jc w:val="both"/>
        <w:rPr>
          <w:rFonts w:ascii="Times New Roman" w:cs="Times New Roman" w:eastAsia="Times New Roman" w:hAnsi="Times New Roman"/>
          <w:sz w:val="36.66666666666667"/>
          <w:szCs w:val="36.66666666666667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6.66666666666667"/>
          <w:szCs w:val="36.66666666666667"/>
          <w:vertAlign w:val="superscript"/>
          <w:rtl w:val="0"/>
        </w:rPr>
        <w:t xml:space="preserve">Относно изискванията и условията, </w:t>
      </w:r>
      <w:r w:rsidDel="00000000" w:rsidR="00000000" w:rsidRPr="00000000">
        <w:rPr>
          <w:rFonts w:ascii="Times New Roman" w:cs="Times New Roman" w:eastAsia="Times New Roman" w:hAnsi="Times New Roman"/>
          <w:sz w:val="36.66666666666667"/>
          <w:szCs w:val="36.66666666666667"/>
          <w:vertAlign w:val="superscript"/>
          <w:rtl w:val="0"/>
        </w:rPr>
        <w:t xml:space="preserve">свързани с изпълнението на предмета на настоящата процедура, ще изпълним следното:</w:t>
      </w:r>
    </w:p>
    <w:tbl>
      <w:tblPr>
        <w:tblStyle w:val="Table1"/>
        <w:tblW w:w="10035.41040127480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77.3552078806324"/>
        <w:gridCol w:w="1290"/>
        <w:gridCol w:w="4200"/>
        <w:gridCol w:w="1068.0551933941765"/>
        <w:tblGridChange w:id="0">
          <w:tblGrid>
            <w:gridCol w:w="3477.3552078806324"/>
            <w:gridCol w:w="1290"/>
            <w:gridCol w:w="4200"/>
            <w:gridCol w:w="1068.0551933941765"/>
          </w:tblGrid>
        </w:tblGridChange>
      </w:tblGrid>
      <w:tr>
        <w:trPr>
          <w:cantSplit w:val="0"/>
          <w:trHeight w:val="636.661376953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30.66666666666667"/>
                <w:szCs w:val="30.66666666666667"/>
                <w:vertAlign w:val="superscript"/>
                <w:rtl w:val="0"/>
              </w:rPr>
              <w:t xml:space="preserve">Изисквания и условия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.66666666666667"/>
                <w:szCs w:val="30.66666666666667"/>
                <w:vertAlign w:val="superscript"/>
                <w:rtl w:val="0"/>
              </w:rPr>
              <w:t xml:space="preserve">”Варненски свободен университет “Черноризец Храбър””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30.66666666666667"/>
                <w:szCs w:val="30.66666666666667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.66666666666667"/>
                <w:szCs w:val="30.66666666666667"/>
                <w:vertAlign w:val="superscript"/>
                <w:rtl w:val="0"/>
              </w:rPr>
              <w:t xml:space="preserve">Количество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30.66666666666667"/>
                <w:szCs w:val="30.66666666666667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30.66666666666667"/>
                <w:szCs w:val="30.66666666666667"/>
                <w:vertAlign w:val="superscript"/>
                <w:rtl w:val="0"/>
              </w:rPr>
              <w:t xml:space="preserve">Предложение на кандидата</w:t>
            </w:r>
          </w:p>
          <w:p w:rsidR="00000000" w:rsidDel="00000000" w:rsidP="00000000" w:rsidRDefault="00000000" w:rsidRPr="00000000" w14:paraId="0000000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30.66666666666667"/>
                <w:szCs w:val="30.66666666666667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30.66666666666667"/>
                <w:szCs w:val="30.66666666666667"/>
                <w:vertAlign w:val="superscript"/>
                <w:rtl w:val="0"/>
              </w:rPr>
              <w:t xml:space="preserve">Марка/модел/производител/технически характеристики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30.66666666666667"/>
                <w:szCs w:val="30.66666666666667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30.66666666666667"/>
                <w:szCs w:val="30.66666666666667"/>
                <w:vertAlign w:val="superscript"/>
                <w:rtl w:val="0"/>
              </w:rPr>
              <w:t xml:space="preserve">Забележка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Изисквания към изпълнението и качеството на стоките / услугите / строителството:</w:t>
            </w:r>
          </w:p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Обособена позиция 1: Облачни услуги за изчислителни задачи </w:t>
            </w:r>
          </w:p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Доставка на облачни услуги за изчислителни задачи  – 10 бр.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акаунта за достъп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Минимални изисквания с технически характеристики:</w:t>
            </w:r>
          </w:p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включва най-малко по 1 час на месец от следните услуги: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Factorization Machines Algorithm - 36 CPU, 72GB RAM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K-Nearest Neighbors - 4 CPU, 32 GB RAM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Linear Learner Algorithm - 4 CPU, 61 GB RAM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XGBoost Algorithm - 8 CPU, 32 GB RAM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DeepAR Forecasting Algorithm - 16 CPU, 30 GB RAM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Object2Vec Algorithm - 8 CPU, 61 GB RAM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Principal Component Analysis (PCA) Algorithm - 32 CPU, 488 GB RAM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Random Cut Forest (RCF) Algorithm - 4 CPU, 8 GB RAM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K-Means Algorithm - 32 CPU, 488 GB RAM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Image Classification Algorithm - 8 CPU, 61 GB RAM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Object Detection Algorithm - 8 CPU, 61 GB RAM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Semantic Segmentation Algorithm - 8 CPU, 61 GB RAM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Пространство за съхранение на файлове - 30 GB </w:t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Услугата включва: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Услугата трябва да гарантира изпълнението на всички етапи по подготовката и реализация на решение за прогнозиране, базирано на използването на машинно обучение и изграждане на приложения за интелигентни агенти и гласови асистенти: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after="0" w:lineRule="auto"/>
              <w:ind w:left="0" w:firstLine="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на данните - позволява избор на набори от данни от различни източници и формиране на езеро от данни (Data Lake);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spacing w:after="0" w:lineRule="auto"/>
              <w:ind w:left="0" w:firstLine="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хранилище на данни, което позволява динамично добавяне и премахване на данни;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after="0" w:lineRule="auto"/>
              <w:ind w:left="0" w:firstLine="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предоставя визуална среда за подготовка и организиране на потоците от данни, които ще бъдат използвани за машинно обучение и езици за заявки: SQL и Python;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spacing w:after="0" w:lineRule="auto"/>
              <w:ind w:left="0" w:firstLine="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възможност за  анотиране на различни видове данни, вкл. изображения за целите на машинното обучение;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spacing w:after="0" w:lineRule="auto"/>
              <w:ind w:left="0" w:firstLine="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предоставя възможност за прилагане на следните вградени в услугата алгоритми:</w:t>
            </w:r>
          </w:p>
          <w:p w:rsidR="00000000" w:rsidDel="00000000" w:rsidP="00000000" w:rsidRDefault="00000000" w:rsidRPr="00000000" w14:paraId="00000025">
            <w:pPr>
              <w:spacing w:after="0" w:lineRule="auto"/>
              <w:ind w:left="0" w:right="-132.16535433070845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 машинно обучение -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Factorization Machines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K-Nearest Neighbors (k-NN)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Linear Learner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XGBoost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DeepAR Forecasting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Object2Vec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Principal Component Analysis (PCA)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Random Cut Forest (RCF)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K-Means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26">
            <w:pPr>
              <w:spacing w:after="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 обработка на изображения - 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Image Classification Algorith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m, </w:t>
            </w: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Object Detection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rtl w:val="0"/>
                </w:rPr>
                <w:t xml:space="preserve">Semantic Segmentation Algorithm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възможност за използване на предварително дефинирани модели за машинно обучение с отворен код;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предоставя оптимизирана среда за машинно обучение, базирана на Python;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предоставя инструменти за проследяване и оптимизиране на процесите за машинно обучение и прогнозиране;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поддържа среда за планиране и настройване на експериментите, съхраняване и организиране на данните от тях;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предоставя услуга за базирано на изкуствен интелект и модели за обработка на естествен език проектиране и изграждане на виртуален асистент.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Допълнителни технически и функционални характеристики, предмет на оценка: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 е приложимо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i w:val="1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i w:val="1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i w:val="1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36.66666666666667"/>
                <w:szCs w:val="36.66666666666667"/>
                <w:vertAlign w:val="superscript"/>
                <w:rtl w:val="0"/>
              </w:rPr>
              <w:t xml:space="preserve">10 бр.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i w:val="1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  <w:rtl w:val="0"/>
              </w:rPr>
              <w:t xml:space="preserve">Изисквания към гаранционната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  <w:rtl w:val="0"/>
              </w:rPr>
              <w:t xml:space="preserve">извънгаранционната поддръжка (ако е приложимо): не е приложимо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lineRule="auto"/>
              <w:ind w:left="313" w:hanging="36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Списък със сходни услуги;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0" w:lineRule="auto"/>
              <w:ind w:left="313" w:hanging="36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Други документи съгласно проекта за договор.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  <w:rtl w:val="0"/>
              </w:rPr>
              <w:t xml:space="preserve">Изисквания към правата на собственост и правата на ползване на интелектуални продукти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  <w:rtl w:val="0"/>
              </w:rPr>
              <w:t xml:space="preserve">(ако е приложимо)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  <w:rtl w:val="0"/>
              </w:rPr>
              <w:t xml:space="preserve">. Не е приложимо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Изисквания за обучение на персонала на бенефициента за експлоатация: </w:t>
              <w:br w:type="textWrapping"/>
              <w:t xml:space="preserve">Не е приложимо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Подпомагащи дейности и условия от бенефициента (ако е приложимо)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rtl w:val="0"/>
              </w:rPr>
              <w:t xml:space="preserve"> 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Не е приложимо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  <w:rtl w:val="0"/>
              </w:rPr>
              <w:t xml:space="preserve">Други: Не е приложимо.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ind w:firstLine="720"/>
        <w:jc w:val="both"/>
        <w:rPr>
          <w:rFonts w:ascii="Times New Roman" w:cs="Times New Roman" w:eastAsia="Times New Roman" w:hAnsi="Times New Roman"/>
          <w:sz w:val="36.66666666666667"/>
          <w:szCs w:val="36.66666666666667"/>
          <w:vertAlign w:val="superscript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3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86"/>
        <w:gridCol w:w="3775"/>
        <w:gridCol w:w="1470"/>
        <w:tblGridChange w:id="0">
          <w:tblGrid>
            <w:gridCol w:w="4786"/>
            <w:gridCol w:w="3775"/>
            <w:gridCol w:w="1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b w:val="1"/>
                <w:sz w:val="30.66666666666667"/>
                <w:szCs w:val="30.66666666666667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.66666666666667"/>
                <w:szCs w:val="30.66666666666667"/>
                <w:vertAlign w:val="superscript"/>
                <w:rtl w:val="0"/>
              </w:rPr>
              <w:t xml:space="preserve">Изисквания и условия на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.66666666666667"/>
                <w:szCs w:val="30.66666666666667"/>
                <w:vertAlign w:val="superscript"/>
                <w:rtl w:val="0"/>
              </w:rPr>
              <w:t xml:space="preserve">”Варненски свободен университет “Черноризец Храбър””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b w:val="1"/>
                <w:sz w:val="30.66666666666667"/>
                <w:szCs w:val="30.66666666666667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.66666666666667"/>
                <w:szCs w:val="30.66666666666667"/>
                <w:vertAlign w:val="superscript"/>
                <w:rtl w:val="0"/>
              </w:rPr>
              <w:t xml:space="preserve">Предложение на кандидата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b w:val="1"/>
                <w:sz w:val="30.66666666666667"/>
                <w:szCs w:val="30.66666666666667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30.66666666666667"/>
                <w:szCs w:val="30.66666666666667"/>
                <w:vertAlign w:val="superscript"/>
                <w:rtl w:val="0"/>
              </w:rPr>
              <w:t xml:space="preserve">Марка/модел/производител/технически характеристики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b w:val="1"/>
                <w:sz w:val="30.66666666666667"/>
                <w:szCs w:val="30.66666666666667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.66666666666667"/>
                <w:szCs w:val="30.66666666666667"/>
                <w:vertAlign w:val="superscript"/>
                <w:rtl w:val="0"/>
              </w:rPr>
              <w:t xml:space="preserve">Забележка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Изисквания към изпълнението и качеството на стоките/услугите/строителството: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Обособена позиция 2: Доставка на софтуер за изчислителни модели и доставка на софтуер за разработка на VR решения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Доставка на софтуер за изчислителни модели – 2 бр.: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Софтуерът трябва да притежава следните функционалности: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се използва като облачна услуга, както и офлайн като десктоп приложение;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предоставя репозитори за изчислителни модели на невронни мрежи, включително и за обработка на изображения;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поддържа специфични модели за изследвания в областта на невронауките;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поддържа програмна среда за нови изчислителни алгоритми;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предоставя възможност за интеграция с различни среди за разработка на приложения;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поддържа математически модели за изчисления в различни домейн области като инженерни науки, биоинформатика, обработка на медицински изображения, социални и поведенчески науки. 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Доставка на софтуер за разработка на VR решения – 1 бр. класна стая с 5 работни места.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Софтуерна среда, която комбинира разработката на AR, VR и GUI за интерактивни приложения;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3"/>
              </w:num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Възможност за съвместна работа във виртуална среда по общ проект;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3"/>
              </w:num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от споделени устройства</w:t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Допълнителни технически и функционални характеристики, предмет на оценка: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 е приложимо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jc w:val="both"/>
              <w:rPr>
                <w:rFonts w:ascii="Times New Roman" w:cs="Times New Roman" w:eastAsia="Times New Roman" w:hAnsi="Times New Roman"/>
                <w:i w:val="1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  <w:rtl w:val="0"/>
              </w:rPr>
              <w:t xml:space="preserve">Изисквания към гаранционната и извънгаранционната поддръжка (ако е приложимо): не е приложимо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Списък със сходни услуги 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Лицензи;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Сертификати за достъп;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4"/>
              </w:numPr>
              <w:spacing w:after="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Други документи съгласно проекта за договор.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  <w:rtl w:val="0"/>
              </w:rPr>
              <w:t xml:space="preserve">Изисквания към правата на собственост и правата на ползване на интелектуални продукти (ако е приложимо).</w:t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  <w:rtl w:val="0"/>
              </w:rPr>
              <w:t xml:space="preserve">Не е приложимо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Изисквания за обучение на персонала на бенефициента за експлоатация :</w:t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 е приложимо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Подпомагащи дейности и условия от бенефициента (ако е приложимо)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 е приложимо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  <w:rtl w:val="0"/>
              </w:rPr>
              <w:t xml:space="preserve">Други: Не е приложимо.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sz w:val="36.66666666666667"/>
                <w:szCs w:val="36.66666666666667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36.66666666666667"/>
          <w:szCs w:val="36.66666666666667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6.66666666666667"/>
          <w:szCs w:val="36.66666666666667"/>
          <w:vertAlign w:val="superscript"/>
          <w:rtl w:val="0"/>
        </w:rPr>
        <w:t xml:space="preserve"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000000" w:rsidDel="00000000" w:rsidP="00000000" w:rsidRDefault="00000000" w:rsidRPr="00000000" w14:paraId="0000008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ЦЕНОВО ПРЕДЛОЖЕНИЕ</w:t>
      </w:r>
    </w:p>
    <w:p w:rsidR="00000000" w:rsidDel="00000000" w:rsidP="00000000" w:rsidRDefault="00000000" w:rsidRPr="00000000" w14:paraId="0000008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3855"/>
        <w:gridCol w:w="960"/>
        <w:gridCol w:w="1170"/>
        <w:gridCol w:w="960"/>
        <w:gridCol w:w="1095"/>
        <w:gridCol w:w="1470"/>
        <w:tblGridChange w:id="0">
          <w:tblGrid>
            <w:gridCol w:w="540"/>
            <w:gridCol w:w="3855"/>
            <w:gridCol w:w="960"/>
            <w:gridCol w:w="1170"/>
            <w:gridCol w:w="960"/>
            <w:gridCol w:w="1095"/>
            <w:gridCol w:w="14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НАИМЕНОВАНИЕ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коли-чество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ед. цена</w:t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без ДДС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общо</w:t>
            </w:r>
          </w:p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без ДДС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ДДС</w:t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20 %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цена </w:t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 ДДС</w:t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Factorization Machines Algorithm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K-Nearest Neighbors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Linear Learner Algorithm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XGBoost Algorithm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DeepAR Forecasting Algorithm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B7">
            <w:pPr>
              <w:pStyle w:val="Heading1"/>
              <w:keepNext w:val="0"/>
              <w:keepLines w:val="0"/>
              <w:widowControl w:val="0"/>
              <w:spacing w:after="0" w:before="56" w:line="240" w:lineRule="auto"/>
              <w:ind w:left="34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Object2Vec Algorithm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BE">
            <w:pPr>
              <w:pStyle w:val="Heading1"/>
              <w:keepNext w:val="0"/>
              <w:keepLines w:val="0"/>
              <w:widowControl w:val="0"/>
              <w:spacing w:after="0" w:before="0" w:line="240" w:lineRule="auto"/>
              <w:ind w:left="34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heading=h.kt5wkgotvszt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Principal Component Analysis (PCA) Algorithm</w:t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C5">
            <w:pPr>
              <w:pStyle w:val="Heading1"/>
              <w:keepNext w:val="0"/>
              <w:keepLines w:val="0"/>
              <w:widowControl w:val="0"/>
              <w:spacing w:after="0" w:before="1" w:line="240" w:lineRule="auto"/>
              <w:ind w:left="34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heading=h.elq9h2txqw5r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Random Cut Forest (RCF) Algorithm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CC">
            <w:pPr>
              <w:pStyle w:val="Heading1"/>
              <w:keepNext w:val="0"/>
              <w:keepLines w:val="0"/>
              <w:widowControl w:val="0"/>
              <w:spacing w:after="0" w:before="0" w:line="240" w:lineRule="auto"/>
              <w:ind w:left="34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heading=h.sqqtze75bwq5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K-Means Algorithm</w:t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D3">
            <w:pPr>
              <w:widowControl w:val="0"/>
              <w:spacing w:after="0" w:before="69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Image Classification Algorithm</w:t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DA">
            <w:pPr>
              <w:pStyle w:val="Heading1"/>
              <w:keepNext w:val="0"/>
              <w:keepLines w:val="0"/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heading=h.z2tagrt43xw0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Object Detection Algorithm</w:t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E1">
            <w:pPr>
              <w:pStyle w:val="Heading1"/>
              <w:keepNext w:val="0"/>
              <w:keepLines w:val="0"/>
              <w:widowControl w:val="0"/>
              <w:spacing w:after="0" w:before="56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heading=h.ghvo80l5wwod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Semantic Segmentation Algorithm</w:t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" w:hRule="atLeast"/>
          <w:tblHeader w:val="0"/>
        </w:trPr>
        <w:tc>
          <w:tcPr/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E8">
            <w:pPr>
              <w:pStyle w:val="Heading1"/>
              <w:keepNext w:val="0"/>
              <w:keepLines w:val="0"/>
              <w:widowControl w:val="0"/>
              <w:spacing w:after="0" w:before="56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heading=h.k7z22srs37o6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Пространство за съхранение на файлове</w:t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after="0" w:line="240" w:lineRule="auto"/>
              <w:ind w:right="66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keepNext w:val="1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Обща сума на акаунт на месец (получава се като сума на предлаганите услуги за един акаунт на месец)</w:t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5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Общата цена на нашата оферта за 10 акаунта и период от 8 месеца възлиза на:</w:t>
      </w:r>
    </w:p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1.000000000002" w:type="dxa"/>
        <w:jc w:val="left"/>
        <w:tblInd w:w="2.0" w:type="dxa"/>
        <w:tblLayout w:type="fixed"/>
        <w:tblLook w:val="0000"/>
      </w:tblPr>
      <w:tblGrid>
        <w:gridCol w:w="2374"/>
        <w:gridCol w:w="743"/>
        <w:gridCol w:w="300"/>
        <w:gridCol w:w="6"/>
        <w:gridCol w:w="3946"/>
        <w:gridCol w:w="236"/>
        <w:gridCol w:w="2316"/>
        <w:tblGridChange w:id="0">
          <w:tblGrid>
            <w:gridCol w:w="2374"/>
            <w:gridCol w:w="743"/>
            <w:gridCol w:w="300"/>
            <w:gridCol w:w="6"/>
            <w:gridCol w:w="3946"/>
            <w:gridCol w:w="236"/>
            <w:gridCol w:w="2316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лева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B">
            <w:pPr>
              <w:spacing w:after="0" w:line="240" w:lineRule="auto"/>
              <w:ind w:left="-57" w:right="-57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-10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after="0" w:line="240" w:lineRule="auto"/>
              <w:ind w:left="-57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лева без ДДС, 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(сума с цифри)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(сума с думи)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лева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left="-57" w:right="-57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10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after="0" w:line="240" w:lineRule="auto"/>
              <w:ind w:left="-57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лева с ДДС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(сума с цифри)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(сума с думи)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5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60" w:before="6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Цената е крайна и окончателна цена и включва всички разходи и възнаграждения за изпълнение на предмета на договора.</w:t>
      </w:r>
    </w:p>
    <w:p w:rsidR="00000000" w:rsidDel="00000000" w:rsidP="00000000" w:rsidRDefault="00000000" w:rsidRPr="00000000" w14:paraId="0000011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приведем общата  цена в съответствие с единичната цена на офертата.</w:t>
      </w:r>
    </w:p>
    <w:p w:rsidR="00000000" w:rsidDel="00000000" w:rsidP="00000000" w:rsidRDefault="00000000" w:rsidRPr="00000000" w14:paraId="0000011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несъответствие между сумата, написана с цифри, и тази, написана с думи, важи сумата, написана с думи.</w:t>
      </w:r>
    </w:p>
    <w:p w:rsidR="00000000" w:rsidDel="00000000" w:rsidP="00000000" w:rsidRDefault="00000000" w:rsidRPr="00000000" w14:paraId="0000011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Като неразделна част от настоящата Оферта, прилагаме следните документи:</w:t>
      </w:r>
    </w:p>
    <w:p w:rsidR="00000000" w:rsidDel="00000000" w:rsidP="00000000" w:rsidRDefault="00000000" w:rsidRPr="00000000" w14:paraId="0000011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Декларация с посочване на ЕИК/Удостоверение за актуално състояние, а когато е физическо лице - документ за самоличност. В случай, че кандидатът е чуждестранно юридическо лице, се прилагат аналогични на посочените изискуеми официални документи от съответната страна.</w:t>
      </w:r>
    </w:p>
    <w:p w:rsidR="00000000" w:rsidDel="00000000" w:rsidP="00000000" w:rsidRDefault="00000000" w:rsidRPr="00000000" w14:paraId="0000011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</w:r>
    </w:p>
    <w:p w:rsidR="00000000" w:rsidDel="00000000" w:rsidP="00000000" w:rsidRDefault="00000000" w:rsidRPr="00000000" w14:paraId="0000011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 обединения, които не са юридически лица:</w:t>
      </w:r>
    </w:p>
    <w:p w:rsidR="00000000" w:rsidDel="00000000" w:rsidP="00000000" w:rsidRDefault="00000000" w:rsidRPr="00000000" w14:paraId="0000011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Удостоверение за регистрация по ЕИК – копие, подпис, печат и “Вярно с оригинала” (ако обединението вече е вписано в регистър БУЛСТАТ)</w:t>
      </w:r>
    </w:p>
    <w:p w:rsidR="00000000" w:rsidDel="00000000" w:rsidP="00000000" w:rsidRDefault="00000000" w:rsidRPr="00000000" w14:paraId="000001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ИЛИ</w:t>
      </w:r>
    </w:p>
    <w:p w:rsidR="00000000" w:rsidDel="00000000" w:rsidP="00000000" w:rsidRDefault="00000000" w:rsidRPr="00000000" w14:paraId="0000012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000000" w:rsidDel="00000000" w:rsidP="00000000" w:rsidRDefault="00000000" w:rsidRPr="00000000" w14:paraId="0000012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Забележка: В случай, че обединение, което не е юридическо лице, не е вписано в регистър Булстат и същото това обединение бъде избрано за изпълнител, то следва да се впише в Регистър БУЛСТАТ, т.е. да се представи удостоверение за регистрация по ЕИК при подписване на договор за изпълнение.</w:t>
      </w:r>
    </w:p>
    <w:p w:rsidR="00000000" w:rsidDel="00000000" w:rsidP="00000000" w:rsidRDefault="00000000" w:rsidRPr="00000000" w14:paraId="0000012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Декларация по чл. 12, ал. 1, т. 1 от ПМС № 160/01.07.2016 г.</w:t>
      </w:r>
    </w:p>
    <w:p w:rsidR="00000000" w:rsidDel="00000000" w:rsidP="00000000" w:rsidRDefault="00000000" w:rsidRPr="00000000" w14:paraId="0000012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Декларация по чл. 53 от ЗУСЕСИФ;</w:t>
      </w:r>
    </w:p>
    <w:p w:rsidR="00000000" w:rsidDel="00000000" w:rsidP="00000000" w:rsidRDefault="00000000" w:rsidRPr="00000000" w14:paraId="0000012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Доказателства за технически възможности и/или квалификация (ако такива се изискват);</w:t>
      </w:r>
    </w:p>
    <w:p w:rsidR="00000000" w:rsidDel="00000000" w:rsidP="00000000" w:rsidRDefault="00000000" w:rsidRPr="00000000" w14:paraId="0000012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Декларация за подизпълнителите, които ще участват в изпълнението на предмета на процедурата и дела на тяхното участие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ако кандидатът е декларирал, че ще ползва подизпълнители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1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Документи по т. 1, 2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 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 и 4 за всеки от подизпълнителите в съответствие с Постановление № 160 на Министерския съвет от 2016 г.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8"/>
          <w:szCs w:val="18"/>
          <w:rtl w:val="0"/>
        </w:rPr>
        <w:t xml:space="preserve">когато се предвижда участието на подизпълнители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128">
      <w:pPr>
        <w:numPr>
          <w:ilvl w:val="0"/>
          <w:numId w:val="5"/>
        </w:numPr>
        <w:tabs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Други документи и доказателства, изискани и посочени от бенефициента в документацията за участие.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случай, че офертите за тръжната процедура се представят и подписват от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лице, различно от управляващия кандидата по регистрация се изисква: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Нотариално заверено пълномощно или нотариално заверен препис на пълномощното.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(За чуждестранни кандидати - съответен еквивалентен документ, издаден от</w:t>
      </w:r>
    </w:p>
    <w:p w:rsidR="00000000" w:rsidDel="00000000" w:rsidP="00000000" w:rsidRDefault="00000000" w:rsidRPr="00000000" w14:paraId="000001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съответен съдебен или административен орган в държавата, в която са</w:t>
      </w:r>
    </w:p>
    <w:p w:rsidR="00000000" w:rsidDel="00000000" w:rsidP="00000000" w:rsidRDefault="00000000" w:rsidRPr="00000000" w14:paraId="0000012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установени, които се придружават от превод на български език).</w:t>
      </w:r>
    </w:p>
    <w:p w:rsidR="00000000" w:rsidDel="00000000" w:rsidP="00000000" w:rsidRDefault="00000000" w:rsidRPr="00000000" w14:paraId="0000012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ДАТА: _____________ г.</w:t>
        <w:tab/>
        <w:tab/>
        <w:tab/>
        <w:t xml:space="preserve">ПОДПИС и ПЕЧАТ:___________________</w:t>
      </w:r>
    </w:p>
    <w:p w:rsidR="00000000" w:rsidDel="00000000" w:rsidP="00000000" w:rsidRDefault="00000000" w:rsidRPr="00000000" w14:paraId="00000134">
      <w:pPr>
        <w:spacing w:after="0" w:line="240" w:lineRule="auto"/>
        <w:ind w:firstLine="43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after="0" w:line="240" w:lineRule="auto"/>
        <w:ind w:firstLine="43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136">
      <w:pPr>
        <w:spacing w:after="0" w:line="240" w:lineRule="auto"/>
        <w:ind w:firstLine="43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(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име и фамилия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after="0" w:line="240" w:lineRule="auto"/>
        <w:ind w:firstLine="43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138">
      <w:pPr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</w:t>
        <w:tab/>
        <w:tab/>
        <w:tab/>
        <w:tab/>
        <w:tab/>
        <w:tab/>
        <w:tab/>
        <w:tab/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длъжност)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bookmarkStart w:colFirst="0" w:colLast="0" w:name="_heading=h.gjdgxs" w:id="6"/>
      <w:bookmarkEnd w:id="6"/>
      <w:r w:rsidDel="00000000" w:rsidR="00000000" w:rsidRPr="00000000">
        <w:rPr>
          <w:rtl w:val="0"/>
        </w:rPr>
      </w:r>
    </w:p>
    <w:sectPr>
      <w:headerReference r:id="rId19" w:type="default"/>
      <w:headerReference r:id="rId20" w:type="first"/>
      <w:headerReference r:id="rId21" w:type="even"/>
      <w:footerReference r:id="rId22" w:type="default"/>
      <w:footerReference r:id="rId23" w:type="first"/>
      <w:footerReference r:id="rId24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Hebar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Calibri" w:cs="Calibri" w:eastAsia="Calibri" w:hAnsi="Calibri"/>
        <w:color w:val="000000"/>
      </w:rPr>
    </w:pPr>
    <w:r w:rsidDel="00000000" w:rsidR="00000000" w:rsidRPr="00000000">
      <w:rPr>
        <w:rFonts w:ascii="Calibri" w:cs="Calibri" w:eastAsia="Calibri" w:hAnsi="Calibri"/>
        <w:color w:val="000000"/>
        <w:rtl w:val="0"/>
      </w:rPr>
      <w:t xml:space="preserve"> </w:t>
    </w:r>
  </w:p>
  <w:p w:rsidR="00000000" w:rsidDel="00000000" w:rsidP="00000000" w:rsidRDefault="00000000" w:rsidRPr="00000000" w14:paraId="00000140">
    <w:pPr>
      <w:widowControl w:val="0"/>
      <w:pBdr>
        <w:top w:color="000000" w:space="1" w:sz="4" w:val="single"/>
        <w:left w:color="000000" w:space="0" w:sz="0" w:val="none"/>
        <w:bottom w:color="000000" w:space="0" w:sz="0" w:val="none"/>
        <w:right w:color="000000" w:space="0" w:sz="0" w:val="none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cs="HebarU" w:eastAsia="HebarU" w:hAnsi="HebarU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i w:val="1"/>
        <w:color w:val="000000"/>
        <w:sz w:val="18"/>
        <w:szCs w:val="18"/>
        <w:rtl w:val="0"/>
      </w:rPr>
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Calibri" w:cs="Calibri" w:eastAsia="Calibri" w:hAnsi="Calibri"/>
        <w:color w:val="000000"/>
      </w:rPr>
    </w:pPr>
    <w:r w:rsidDel="00000000" w:rsidR="00000000" w:rsidRPr="00000000">
      <w:rPr>
        <w:rFonts w:ascii="Calibri" w:cs="Calibri" w:eastAsia="Calibri" w:hAnsi="Calibri"/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524318" cy="430925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24318" cy="4309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                          </w:t>
      <w:tab/>
    </w:r>
    <w:r w:rsidDel="00000000" w:rsidR="00000000" w:rsidRPr="00000000">
      <w:rPr>
        <w:color w:val="000000"/>
      </w:rPr>
      <w:drawing>
        <wp:inline distB="0" distT="0" distL="0" distR="0">
          <wp:extent cx="1701384" cy="587877"/>
          <wp:effectExtent b="0" l="0" r="0" t="0"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01384" cy="58787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1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6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bg-BG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F5293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52939"/>
  </w:style>
  <w:style w:type="paragraph" w:styleId="Footer">
    <w:name w:val="footer"/>
    <w:basedOn w:val="Normal"/>
    <w:link w:val="FooterChar"/>
    <w:uiPriority w:val="99"/>
    <w:unhideWhenUsed w:val="1"/>
    <w:rsid w:val="00F5293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52939"/>
  </w:style>
  <w:style w:type="paragraph" w:styleId="ListParagraph">
    <w:name w:val="List Paragraph"/>
    <w:basedOn w:val="Normal"/>
    <w:uiPriority w:val="34"/>
    <w:qFormat w:val="1"/>
    <w:rsid w:val="003D36F4"/>
    <w:pPr>
      <w:ind w:left="720"/>
      <w:contextualSpacing w:val="1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C18DE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C18D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3.xml"/><Relationship Id="rId11" Type="http://schemas.openxmlformats.org/officeDocument/2006/relationships/hyperlink" Target="https://docs.aws.amazon.com/sagemaker/latest/dg/deepar.html" TargetMode="External"/><Relationship Id="rId22" Type="http://schemas.openxmlformats.org/officeDocument/2006/relationships/footer" Target="footer3.xml"/><Relationship Id="rId10" Type="http://schemas.openxmlformats.org/officeDocument/2006/relationships/hyperlink" Target="https://docs.aws.amazon.com/sagemaker/latest/dg/xgboost.html" TargetMode="External"/><Relationship Id="rId21" Type="http://schemas.openxmlformats.org/officeDocument/2006/relationships/header" Target="header2.xml"/><Relationship Id="rId13" Type="http://schemas.openxmlformats.org/officeDocument/2006/relationships/hyperlink" Target="https://docs.aws.amazon.com/sagemaker/latest/dg/pca.html" TargetMode="External"/><Relationship Id="rId24" Type="http://schemas.openxmlformats.org/officeDocument/2006/relationships/footer" Target="footer1.xml"/><Relationship Id="rId12" Type="http://schemas.openxmlformats.org/officeDocument/2006/relationships/hyperlink" Target="https://docs.aws.amazon.com/sagemaker/latest/dg/object2vec.html" TargetMode="External"/><Relationship Id="rId23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aws.amazon.com/sagemaker/latest/dg/linear-learner.html" TargetMode="External"/><Relationship Id="rId15" Type="http://schemas.openxmlformats.org/officeDocument/2006/relationships/hyperlink" Target="https://docs.aws.amazon.com/sagemaker/latest/dg/k-means.html" TargetMode="External"/><Relationship Id="rId14" Type="http://schemas.openxmlformats.org/officeDocument/2006/relationships/hyperlink" Target="https://docs.aws.amazon.com/sagemaker/latest/dg/randomcutforest.html" TargetMode="External"/><Relationship Id="rId17" Type="http://schemas.openxmlformats.org/officeDocument/2006/relationships/hyperlink" Target="https://docs.aws.amazon.com/sagemaker/latest/dg/object-detection.html" TargetMode="External"/><Relationship Id="rId16" Type="http://schemas.openxmlformats.org/officeDocument/2006/relationships/hyperlink" Target="https://docs.aws.amazon.com/sagemaker/latest/dg/image-classification.html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yperlink" Target="https://docs.aws.amazon.com/sagemaker/latest/dg/semantic-segmentation.html" TargetMode="External"/><Relationship Id="rId7" Type="http://schemas.openxmlformats.org/officeDocument/2006/relationships/hyperlink" Target="https://docs.aws.amazon.com/sagemaker/latest/dg/fact-machines.html" TargetMode="External"/><Relationship Id="rId8" Type="http://schemas.openxmlformats.org/officeDocument/2006/relationships/hyperlink" Target="https://docs.aws.amazon.com/sagemaker/latest/dg/k-nearest-neighbors.htm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0nb/pIXfxdhi1HnA5G4QDGZI6Q==">AMUW2mXDT6KhZRicC5h46M9HhQa9LoPMmD/Yf+6pLmLQnRPYMQ0acGZJkmOBAVIejlgjN5iq6xY5udPKy5GviJbn1EihdEX9lAf/RdNa4/9Pn4YwIhYe2gmIbvcZFwSmzHWppD8zZoleAE+HOt0W4j97WnZ7iwY6RSI39A01om4UrhJjRrwCWByNWvgjDhTBTVZH/bLUVH6pcpVPbOQvI1BYRjGPB6G1NnixjjpIIqLWqIm0XTri8tIbQPz1jBvgcY4v7ee6Tdbh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2022-03-24T09:21:00Z</dcterms:created>
  <dc:creator>Kremena Hubcheva</dc:creator>
</cp:coreProperties>
</file>